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4915E6" w14:textId="573AB9C7" w:rsidR="00D172E5" w:rsidRDefault="00D172E5" w:rsidP="00D172E5">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95031">
        <w:rPr>
          <w:b/>
          <w:noProof/>
          <w:sz w:val="24"/>
        </w:rPr>
        <w:t>3GPP TSG</w:t>
      </w:r>
      <w:r w:rsidR="00311202">
        <w:rPr>
          <w:b/>
          <w:noProof/>
          <w:sz w:val="24"/>
        </w:rPr>
        <w:t xml:space="preserve"> </w:t>
      </w:r>
      <w:r w:rsidR="00935FCE">
        <w:rPr>
          <w:b/>
          <w:noProof/>
          <w:sz w:val="24"/>
        </w:rPr>
        <w:t>RA WG1</w:t>
      </w:r>
      <w:r w:rsidR="00935FCE" w:rsidRPr="00935FCE">
        <w:rPr>
          <w:b/>
          <w:noProof/>
          <w:sz w:val="24"/>
        </w:rPr>
        <w:t xml:space="preserve"> </w:t>
      </w:r>
      <w:r w:rsidR="00421371">
        <w:rPr>
          <w:b/>
          <w:noProof/>
          <w:sz w:val="24"/>
        </w:rPr>
        <w:t>Meeting #8</w:t>
      </w:r>
      <w:r w:rsidR="005F44C8">
        <w:rPr>
          <w:b/>
          <w:noProof/>
          <w:sz w:val="24"/>
        </w:rPr>
        <w:t>7</w:t>
      </w:r>
      <w:r w:rsidR="000A6AEA" w:rsidRPr="00311202">
        <w:rPr>
          <w:b/>
          <w:noProof/>
          <w:sz w:val="28"/>
        </w:rPr>
        <w:tab/>
      </w:r>
      <w:r w:rsidR="009D19E1">
        <w:rPr>
          <w:b/>
          <w:noProof/>
          <w:sz w:val="28"/>
        </w:rPr>
        <w:t>R1-</w:t>
      </w:r>
      <w:r w:rsidR="005212C7" w:rsidRPr="005212C7">
        <w:t xml:space="preserve"> </w:t>
      </w:r>
      <w:r w:rsidR="005F44C8">
        <w:rPr>
          <w:b/>
          <w:noProof/>
          <w:sz w:val="28"/>
        </w:rPr>
        <w:t>16</w:t>
      </w:r>
      <w:r w:rsidR="0064114F">
        <w:rPr>
          <w:b/>
          <w:noProof/>
          <w:sz w:val="28"/>
        </w:rPr>
        <w:t>12629</w:t>
      </w:r>
    </w:p>
    <w:p w14:paraId="22D9DEEA" w14:textId="7C669ED5" w:rsidR="00D172E5" w:rsidRPr="000F1261" w:rsidRDefault="005F44C8" w:rsidP="00D172E5">
      <w:pPr>
        <w:pStyle w:val="CRCoverPage"/>
        <w:outlineLvl w:val="0"/>
        <w:rPr>
          <w:b/>
          <w:noProof/>
          <w:sz w:val="24"/>
        </w:rPr>
      </w:pPr>
      <w:r>
        <w:rPr>
          <w:rFonts w:eastAsia="SimSun"/>
          <w:b/>
          <w:sz w:val="24"/>
          <w:szCs w:val="24"/>
          <w:lang w:eastAsia="zh-CN"/>
        </w:rPr>
        <w:t>Reno, NV, USA</w:t>
      </w:r>
      <w:r w:rsidR="00311202">
        <w:rPr>
          <w:rFonts w:eastAsia="SimSun"/>
          <w:b/>
          <w:sz w:val="24"/>
          <w:szCs w:val="24"/>
          <w:lang w:eastAsia="zh-CN"/>
        </w:rPr>
        <w:t>,</w:t>
      </w:r>
      <w:r w:rsidR="000A6AEA" w:rsidRPr="000A6AEA">
        <w:rPr>
          <w:rFonts w:eastAsia="SimSun"/>
          <w:b/>
          <w:sz w:val="24"/>
          <w:szCs w:val="24"/>
          <w:lang w:eastAsia="zh-CN"/>
        </w:rPr>
        <w:t xml:space="preserve"> </w:t>
      </w:r>
      <w:r>
        <w:rPr>
          <w:rFonts w:eastAsia="SimSun"/>
          <w:b/>
          <w:sz w:val="24"/>
          <w:szCs w:val="24"/>
          <w:lang w:eastAsia="zh-CN"/>
        </w:rPr>
        <w:t>Nov. 14-18, 2016</w:t>
      </w:r>
    </w:p>
    <w:p w14:paraId="1B497FFE" w14:textId="77777777" w:rsidR="00214685" w:rsidRPr="009177A5" w:rsidRDefault="00A230EB" w:rsidP="00D64B07">
      <w:pPr>
        <w:tabs>
          <w:tab w:val="left" w:pos="2556"/>
          <w:tab w:val="left" w:pos="2955"/>
        </w:tabs>
        <w:spacing w:after="120"/>
        <w:ind w:left="1985" w:hanging="1985"/>
        <w:rPr>
          <w:rFonts w:ascii="Arial" w:hAnsi="Arial" w:cs="Arial"/>
          <w:b/>
        </w:rPr>
      </w:pPr>
      <w:r>
        <w:rPr>
          <w:rFonts w:ascii="Arial" w:hAnsi="Arial" w:cs="Arial"/>
          <w:b/>
        </w:rPr>
        <w:tab/>
      </w:r>
      <w:r>
        <w:rPr>
          <w:rFonts w:ascii="Arial" w:hAnsi="Arial" w:cs="Arial"/>
          <w:b/>
        </w:rPr>
        <w:tab/>
      </w:r>
      <w:r w:rsidR="00D64B07">
        <w:rPr>
          <w:rFonts w:ascii="Arial" w:hAnsi="Arial" w:cs="Arial"/>
          <w:b/>
        </w:rPr>
        <w:tab/>
      </w:r>
    </w:p>
    <w:p w14:paraId="6DBFE39A" w14:textId="780BD292" w:rsidR="00214685" w:rsidRPr="009177A5" w:rsidRDefault="00214685" w:rsidP="00214685">
      <w:pPr>
        <w:spacing w:after="120"/>
        <w:ind w:left="1985" w:hanging="1985"/>
        <w:rPr>
          <w:rFonts w:ascii="Arial" w:hAnsi="Arial" w:cs="Arial"/>
          <w:bCs/>
        </w:rPr>
      </w:pPr>
      <w:r w:rsidRPr="009177A5">
        <w:rPr>
          <w:rFonts w:ascii="Arial" w:hAnsi="Arial" w:cs="Arial"/>
          <w:b/>
        </w:rPr>
        <w:t>Source:</w:t>
      </w:r>
      <w:r w:rsidRPr="009177A5">
        <w:rPr>
          <w:rFonts w:ascii="Arial" w:hAnsi="Arial" w:cs="Arial"/>
          <w:b/>
        </w:rPr>
        <w:tab/>
      </w:r>
      <w:r w:rsidR="00935FCE">
        <w:rPr>
          <w:rFonts w:ascii="Arial" w:hAnsi="Arial" w:cs="Arial"/>
          <w:bCs/>
        </w:rPr>
        <w:t>Cohere Technologies</w:t>
      </w:r>
    </w:p>
    <w:p w14:paraId="758B6ADA" w14:textId="68B201C0" w:rsidR="00214685" w:rsidRPr="003A07F3" w:rsidRDefault="00214685" w:rsidP="003C5C42">
      <w:pPr>
        <w:spacing w:after="120"/>
        <w:ind w:left="1985" w:hanging="1985"/>
        <w:rPr>
          <w:rFonts w:ascii="Arial" w:hAnsi="Arial" w:cs="Arial"/>
          <w:b/>
        </w:rPr>
      </w:pPr>
      <w:r w:rsidRPr="003C5C42">
        <w:rPr>
          <w:rFonts w:ascii="Arial" w:hAnsi="Arial" w:cs="Arial"/>
          <w:b/>
        </w:rPr>
        <w:t>Title:</w:t>
      </w:r>
      <w:r w:rsidRPr="000C51A5">
        <w:rPr>
          <w:rFonts w:ascii="Arial" w:hAnsi="Arial" w:cs="Arial"/>
        </w:rPr>
        <w:tab/>
      </w:r>
      <w:r w:rsidR="00E70953">
        <w:rPr>
          <w:rFonts w:ascii="Arial" w:hAnsi="Arial" w:cs="Arial"/>
        </w:rPr>
        <w:t xml:space="preserve">Forward Compatibility Aspects of </w:t>
      </w:r>
      <w:r w:rsidR="0094585E">
        <w:rPr>
          <w:rFonts w:ascii="Arial" w:hAnsi="Arial" w:cs="Arial"/>
        </w:rPr>
        <w:t xml:space="preserve">NR </w:t>
      </w:r>
      <w:r w:rsidR="00E70953">
        <w:rPr>
          <w:rFonts w:ascii="Arial" w:hAnsi="Arial" w:cs="Arial"/>
        </w:rPr>
        <w:t>Control Channel</w:t>
      </w:r>
    </w:p>
    <w:p w14:paraId="008F1A38" w14:textId="5AB42CA4" w:rsidR="00214685" w:rsidRPr="003A07F3" w:rsidRDefault="00214685" w:rsidP="003C5C42">
      <w:pPr>
        <w:spacing w:after="120"/>
        <w:ind w:left="1985" w:hanging="1985"/>
        <w:rPr>
          <w:rFonts w:ascii="Arial" w:hAnsi="Arial" w:cs="Arial"/>
          <w:bCs/>
          <w:color w:val="FF0000"/>
          <w:lang w:val="pt-BR"/>
        </w:rPr>
      </w:pPr>
      <w:r w:rsidRPr="003A07F3">
        <w:rPr>
          <w:rFonts w:ascii="Arial" w:hAnsi="Arial" w:cs="Arial"/>
          <w:b/>
          <w:lang w:val="pt-BR"/>
        </w:rPr>
        <w:t>Agenda item:</w:t>
      </w:r>
      <w:r w:rsidRPr="00096FE3">
        <w:rPr>
          <w:rFonts w:ascii="Arial" w:hAnsi="Arial" w:cs="Arial"/>
          <w:lang w:val="pt-BR"/>
        </w:rPr>
        <w:tab/>
      </w:r>
      <w:r w:rsidR="00E70953">
        <w:rPr>
          <w:rFonts w:ascii="Arial" w:hAnsi="Arial" w:cs="Arial"/>
          <w:lang w:val="pt-BR"/>
        </w:rPr>
        <w:t>7.1.4.1</w:t>
      </w:r>
    </w:p>
    <w:p w14:paraId="0CED94EA" w14:textId="0BA8F340" w:rsidR="00214685" w:rsidRPr="003C5C42" w:rsidRDefault="00214685" w:rsidP="00C35928">
      <w:pPr>
        <w:spacing w:after="120"/>
        <w:ind w:left="1985" w:hanging="1985"/>
        <w:rPr>
          <w:rFonts w:ascii="Arial" w:hAnsi="Arial" w:cs="Arial"/>
          <w:bCs/>
          <w:color w:val="FF0000"/>
          <w:lang w:val="pt-BR"/>
        </w:rPr>
      </w:pPr>
      <w:r w:rsidRPr="00EE458A">
        <w:rPr>
          <w:rFonts w:ascii="Arial" w:hAnsi="Arial" w:cs="Arial"/>
          <w:b/>
        </w:rPr>
        <w:t>Document</w:t>
      </w:r>
      <w:r w:rsidRPr="003A07F3">
        <w:rPr>
          <w:rFonts w:ascii="Arial" w:hAnsi="Arial" w:cs="Arial"/>
          <w:b/>
          <w:lang w:val="pt-BR"/>
        </w:rPr>
        <w:t xml:space="preserve"> for:</w:t>
      </w:r>
      <w:r w:rsidRPr="003A07F3">
        <w:rPr>
          <w:rFonts w:ascii="Arial" w:hAnsi="Arial" w:cs="Arial"/>
          <w:b/>
          <w:lang w:val="pt-BR"/>
        </w:rPr>
        <w:tab/>
      </w:r>
      <w:r w:rsidR="00FC5DD1" w:rsidRPr="0064114F">
        <w:rPr>
          <w:rFonts w:ascii="Arial" w:hAnsi="Arial" w:cs="Arial"/>
          <w:bCs/>
        </w:rPr>
        <w:t>Discussion</w:t>
      </w:r>
      <w:r w:rsidR="001601B8" w:rsidRPr="0064114F">
        <w:rPr>
          <w:rFonts w:ascii="Arial" w:hAnsi="Arial" w:cs="Arial"/>
          <w:bCs/>
        </w:rPr>
        <w:t>/Decision</w:t>
      </w:r>
    </w:p>
    <w:p w14:paraId="11767BD3" w14:textId="77777777" w:rsidR="00214685" w:rsidRPr="005212C7" w:rsidRDefault="00214685" w:rsidP="00214685">
      <w:pPr>
        <w:pBdr>
          <w:bottom w:val="single" w:sz="4" w:space="1" w:color="auto"/>
        </w:pBdr>
        <w:rPr>
          <w:rFonts w:ascii="Arial" w:hAnsi="Arial" w:cs="Arial"/>
        </w:rPr>
      </w:pPr>
    </w:p>
    <w:p w14:paraId="04F6890A" w14:textId="2063DEF4" w:rsidR="00D970F7" w:rsidRDefault="001E36FD" w:rsidP="0014752B">
      <w:pPr>
        <w:pStyle w:val="Heading2"/>
      </w:pPr>
      <w:bookmarkStart w:id="12" w:name="_Ref441342277"/>
      <w:r w:rsidRPr="002B09BC">
        <w:t>Introduction</w:t>
      </w:r>
    </w:p>
    <w:p w14:paraId="4F4271AC" w14:textId="5F1080DF" w:rsidR="00176CA7" w:rsidRDefault="00176CA7" w:rsidP="00176CA7">
      <w:r>
        <w:t>The continuing evolution of wireless technology, as well as the appearance of new services, makes forward compatibility (FC) a crucial design aspect of NR. Among other things, n</w:t>
      </w:r>
      <w:r w:rsidR="00652AB8">
        <w:t>ew components of NR beyond the P</w:t>
      </w:r>
      <w:r>
        <w:t>hase 1 specification may be needed to support the following:</w:t>
      </w:r>
    </w:p>
    <w:p w14:paraId="1B7DBCC5" w14:textId="5F530E9F" w:rsidR="00176CA7" w:rsidRPr="00176CA7" w:rsidRDefault="00176CA7" w:rsidP="00176CA7">
      <w:pPr>
        <w:pStyle w:val="ListParagraph"/>
        <w:numPr>
          <w:ilvl w:val="0"/>
          <w:numId w:val="11"/>
        </w:numPr>
        <w:rPr>
          <w:sz w:val="20"/>
        </w:rPr>
      </w:pPr>
      <w:r w:rsidRPr="00176CA7">
        <w:rPr>
          <w:sz w:val="20"/>
        </w:rPr>
        <w:t>MTC and/or URLLC support</w:t>
      </w:r>
    </w:p>
    <w:p w14:paraId="4CFEA028" w14:textId="1064DFC7" w:rsidR="00176CA7" w:rsidRDefault="00176CA7" w:rsidP="00176CA7">
      <w:pPr>
        <w:pStyle w:val="ListParagraph"/>
        <w:numPr>
          <w:ilvl w:val="0"/>
          <w:numId w:val="11"/>
        </w:numPr>
        <w:rPr>
          <w:sz w:val="20"/>
        </w:rPr>
      </w:pPr>
      <w:r w:rsidRPr="00176CA7">
        <w:rPr>
          <w:sz w:val="20"/>
        </w:rPr>
        <w:t>New services with new traffic requirements</w:t>
      </w:r>
    </w:p>
    <w:p w14:paraId="08E98BFF" w14:textId="28F929DA" w:rsidR="00176CA7" w:rsidRDefault="00176CA7" w:rsidP="00176CA7">
      <w:pPr>
        <w:pStyle w:val="ListParagraph"/>
        <w:numPr>
          <w:ilvl w:val="0"/>
          <w:numId w:val="11"/>
        </w:numPr>
        <w:rPr>
          <w:sz w:val="20"/>
        </w:rPr>
      </w:pPr>
      <w:r>
        <w:rPr>
          <w:sz w:val="20"/>
        </w:rPr>
        <w:t>New verticals with distinguished air interface</w:t>
      </w:r>
    </w:p>
    <w:p w14:paraId="02AC59AE" w14:textId="4585F4BB" w:rsidR="00176CA7" w:rsidRDefault="00176CA7" w:rsidP="00176CA7">
      <w:pPr>
        <w:pStyle w:val="ListParagraph"/>
        <w:numPr>
          <w:ilvl w:val="0"/>
          <w:numId w:val="11"/>
        </w:numPr>
        <w:rPr>
          <w:sz w:val="20"/>
        </w:rPr>
      </w:pPr>
      <w:r>
        <w:rPr>
          <w:sz w:val="20"/>
        </w:rPr>
        <w:t>Introduction of new modulation schemes and reference signals</w:t>
      </w:r>
    </w:p>
    <w:p w14:paraId="79C7482A" w14:textId="143CB446" w:rsidR="00176CA7" w:rsidRDefault="00176CA7" w:rsidP="00176CA7">
      <w:pPr>
        <w:pStyle w:val="ListParagraph"/>
        <w:numPr>
          <w:ilvl w:val="0"/>
          <w:numId w:val="11"/>
        </w:numPr>
        <w:rPr>
          <w:sz w:val="20"/>
        </w:rPr>
      </w:pPr>
      <w:r>
        <w:rPr>
          <w:sz w:val="20"/>
        </w:rPr>
        <w:t>Changes in system architecture</w:t>
      </w:r>
    </w:p>
    <w:p w14:paraId="172CC707" w14:textId="77777777" w:rsidR="00652AB8" w:rsidRDefault="00652AB8" w:rsidP="00652AB8">
      <w:pPr>
        <w:pStyle w:val="ListParagraph"/>
        <w:rPr>
          <w:sz w:val="20"/>
        </w:rPr>
      </w:pPr>
    </w:p>
    <w:p w14:paraId="3F0A9681" w14:textId="69DA2F4C" w:rsidR="00176CA7" w:rsidRPr="00176CA7" w:rsidRDefault="000B4169" w:rsidP="00176CA7">
      <w:r>
        <w:t>D</w:t>
      </w:r>
      <w:r w:rsidR="00176CA7">
        <w:t xml:space="preserve">iscussions in past 3GPP meetings have led to a number of agreements on FC. Among other aspects, it was agreed in RAN1#85 that </w:t>
      </w:r>
      <w:r w:rsidR="007874DA">
        <w:t>[1]</w:t>
      </w:r>
    </w:p>
    <w:p w14:paraId="6AAE1750" w14:textId="64BCE2BD" w:rsidR="007F1822" w:rsidRPr="00CB57F4" w:rsidRDefault="00CB57F4" w:rsidP="007F1822">
      <w:pPr>
        <w:rPr>
          <w:i/>
        </w:rPr>
      </w:pPr>
      <w:r w:rsidRPr="00CB57F4">
        <w:rPr>
          <w:i/>
        </w:rPr>
        <w:t>“</w:t>
      </w:r>
      <w:r w:rsidR="007F1822" w:rsidRPr="00CB57F4">
        <w:rPr>
          <w:i/>
        </w:rPr>
        <w:t>Forward compatibility of NR shall ensure smooth introduction of future services and features with no impact on the access of earlier services and UEs</w:t>
      </w:r>
      <w:r w:rsidRPr="00CB57F4">
        <w:rPr>
          <w:i/>
        </w:rPr>
        <w:t>.”</w:t>
      </w:r>
    </w:p>
    <w:p w14:paraId="7322C908" w14:textId="0E459F0C" w:rsidR="001601B8" w:rsidRPr="0014752B" w:rsidRDefault="00CB57F4" w:rsidP="0014752B">
      <w:r>
        <w:t>In this contribution we discuss possible interacti</w:t>
      </w:r>
      <w:r w:rsidR="004F5848">
        <w:t>ons between P</w:t>
      </w:r>
      <w:r w:rsidR="00D0408D">
        <w:t xml:space="preserve">hase 1 NR and possible </w:t>
      </w:r>
      <w:r w:rsidR="004F5848">
        <w:t xml:space="preserve">new </w:t>
      </w:r>
      <w:r w:rsidR="00D0408D">
        <w:t>future</w:t>
      </w:r>
      <w:r>
        <w:t xml:space="preserve"> designs</w:t>
      </w:r>
      <w:r w:rsidR="00D0408D">
        <w:t xml:space="preserve"> (FD) </w:t>
      </w:r>
      <w:r w:rsidR="004F5848">
        <w:t>of</w:t>
      </w:r>
      <w:r w:rsidR="00D0408D">
        <w:t xml:space="preserve"> the air interface</w:t>
      </w:r>
      <w:r>
        <w:t xml:space="preserve">. </w:t>
      </w:r>
    </w:p>
    <w:p w14:paraId="1B55C687" w14:textId="6FB3EFCC" w:rsidR="008E32FB" w:rsidRDefault="00210495" w:rsidP="008E32FB">
      <w:pPr>
        <w:pStyle w:val="Heading2"/>
      </w:pPr>
      <w:r>
        <w:t>F</w:t>
      </w:r>
      <w:r w:rsidR="000C7F5F">
        <w:t>orward Compatibility</w:t>
      </w:r>
      <w:r>
        <w:t xml:space="preserve"> Modes</w:t>
      </w:r>
      <w:bookmarkEnd w:id="12"/>
    </w:p>
    <w:p w14:paraId="0B6E9B67" w14:textId="56A444C4" w:rsidR="0094585E" w:rsidRPr="009F55D8" w:rsidRDefault="00CB57F4" w:rsidP="009F55D8">
      <w:r>
        <w:t>We consider two possible sc</w:t>
      </w:r>
      <w:r w:rsidR="00D0408D">
        <w:t xml:space="preserve">enarios. In a first scenario, an FD is defined for data transmission, using </w:t>
      </w:r>
      <w:r w:rsidR="00983CA1">
        <w:t>t</w:t>
      </w:r>
      <w:r w:rsidR="00D0408D">
        <w:t>ime-frequency resources</w:t>
      </w:r>
      <w:r w:rsidR="00983CA1">
        <w:t xml:space="preserve"> assigned for FC</w:t>
      </w:r>
      <w:r w:rsidR="00D0408D">
        <w:t xml:space="preserve">. In this scenario, </w:t>
      </w:r>
      <w:r w:rsidR="008A0A4F">
        <w:t>P</w:t>
      </w:r>
      <w:r w:rsidR="00D0408D">
        <w:t>hase 1 control channels are used for control signaling.</w:t>
      </w:r>
      <w:r w:rsidR="006652E5">
        <w:t xml:space="preserve"> Moreo</w:t>
      </w:r>
      <w:r w:rsidR="008A0A4F">
        <w:t>ver, other P</w:t>
      </w:r>
      <w:r w:rsidR="006652E5">
        <w:t>hase 1 functionalities, such as cell discovery, synchronization signals, and initial access, are also used</w:t>
      </w:r>
      <w:r w:rsidR="0052473A">
        <w:t>.</w:t>
      </w:r>
      <w:r w:rsidR="00D0408D">
        <w:t xml:space="preserve"> </w:t>
      </w:r>
      <w:r w:rsidR="004A4BB3">
        <w:t xml:space="preserve">In a second scenario, an FD is defined for both data and control information transmission. </w:t>
      </w:r>
      <w:r w:rsidR="006652E5">
        <w:t>In this scenario, a</w:t>
      </w:r>
      <w:r w:rsidR="008A0A4F">
        <w:t>n</w:t>
      </w:r>
      <w:r w:rsidR="006652E5">
        <w:t xml:space="preserve"> FD design covers at least data and control channels, </w:t>
      </w:r>
      <w:r w:rsidR="0052473A">
        <w:t>and possibly the physical channels for other network functions such as cell discovery, synchronization signals, and initial access.</w:t>
      </w:r>
      <w:r w:rsidR="000C7F5F">
        <w:t xml:space="preserve"> In the following sections we describe these two options in more detail. Other options, such as employing an FD for </w:t>
      </w:r>
      <w:r w:rsidR="008A0A4F">
        <w:t>other specific</w:t>
      </w:r>
      <w:r w:rsidR="000C7F5F">
        <w:t xml:space="preserve"> components, such as e.g. a new reference signal, should not be precluded but are not discussed in this contribution.</w:t>
      </w:r>
    </w:p>
    <w:p w14:paraId="357A41D5" w14:textId="0D870AF5" w:rsidR="008E32FB" w:rsidRDefault="000C7F5F" w:rsidP="008E32FB">
      <w:pPr>
        <w:pStyle w:val="Heading2"/>
      </w:pPr>
      <w:r>
        <w:t>Forward Compatibility with Phase 1 Control Signaling Reuse</w:t>
      </w:r>
    </w:p>
    <w:p w14:paraId="45323A46" w14:textId="1C087342" w:rsidR="00501087" w:rsidRDefault="00356EEB" w:rsidP="00501087">
      <w:r>
        <w:t xml:space="preserve">Performance of wireless networks is heavily dependent on the efficiency of data transmission. Newly defined waveforms or other components may be developed in the future, which improve performance or are more suitable for different performance targets, such as e.g. low packet error rate, high mobility, etc. Reusing control signaling </w:t>
      </w:r>
      <w:r w:rsidR="00EA7A27">
        <w:t>defined in P</w:t>
      </w:r>
      <w:r>
        <w:t xml:space="preserve">hase 1 may significantly shorten the introduction of </w:t>
      </w:r>
      <w:r w:rsidR="008A0A4F">
        <w:t xml:space="preserve">an </w:t>
      </w:r>
      <w:r>
        <w:t xml:space="preserve">FD, since there is </w:t>
      </w:r>
      <w:r w:rsidR="00EA7A27">
        <w:t>a need</w:t>
      </w:r>
      <w:r>
        <w:t xml:space="preserve"> to design a much smaller number of components </w:t>
      </w:r>
      <w:r w:rsidR="00EA7A27">
        <w:t>of</w:t>
      </w:r>
      <w:r>
        <w:t xml:space="preserve"> the air interface</w:t>
      </w:r>
      <w:r w:rsidR="00EA7A27">
        <w:t>.</w:t>
      </w:r>
      <w:r>
        <w:t xml:space="preserve"> </w:t>
      </w:r>
      <w:r w:rsidR="00EA7A27">
        <w:t xml:space="preserve">However, </w:t>
      </w:r>
      <w:r w:rsidR="00E24CEF">
        <w:t>P</w:t>
      </w:r>
      <w:r w:rsidR="00EA7A27">
        <w:t xml:space="preserve">hase 1 design of control signaling </w:t>
      </w:r>
      <w:r w:rsidR="00916D61">
        <w:t>and protocols should</w:t>
      </w:r>
      <w:r w:rsidR="00EA7A27">
        <w:t xml:space="preserve"> ensure that</w:t>
      </w:r>
      <w:r w:rsidR="00D50120">
        <w:t xml:space="preserve"> </w:t>
      </w:r>
      <w:r w:rsidR="008A0A4F">
        <w:t xml:space="preserve">an </w:t>
      </w:r>
      <w:r w:rsidR="00EA7A27">
        <w:t xml:space="preserve">FD targeting data transmission only can be supported. </w:t>
      </w:r>
    </w:p>
    <w:p w14:paraId="2FF52D4A" w14:textId="1C6CBF0D" w:rsidR="00916D61" w:rsidRDefault="00916D61" w:rsidP="00501087">
      <w:r>
        <w:t>In an example scenario, a</w:t>
      </w:r>
      <w:r w:rsidR="008A0A4F">
        <w:t>n</w:t>
      </w:r>
      <w:r>
        <w:t xml:space="preserve"> FD is used for data transmission in a dynamically defined time-frequen</w:t>
      </w:r>
      <w:r w:rsidR="00E24CEF">
        <w:t xml:space="preserve">cy region, as shown in </w:t>
      </w:r>
      <w:r w:rsidR="00E24CEF">
        <w:fldChar w:fldCharType="begin"/>
      </w:r>
      <w:r w:rsidR="00E24CEF">
        <w:instrText xml:space="preserve"> REF _Ref466009298 \h </w:instrText>
      </w:r>
      <w:r w:rsidR="00E24CEF">
        <w:fldChar w:fldCharType="separate"/>
      </w:r>
      <w:r w:rsidR="00E24CEF">
        <w:t xml:space="preserve">Figure </w:t>
      </w:r>
      <w:r w:rsidR="00E24CEF">
        <w:rPr>
          <w:noProof/>
        </w:rPr>
        <w:t>1</w:t>
      </w:r>
      <w:r w:rsidR="00E24CEF">
        <w:fldChar w:fldCharType="end"/>
      </w:r>
      <w:r w:rsidR="00B97C86">
        <w:t xml:space="preserve">. In the figure, a downlink-centric </w:t>
      </w:r>
      <w:proofErr w:type="spellStart"/>
      <w:r w:rsidR="00B97C86">
        <w:t>subframe</w:t>
      </w:r>
      <w:proofErr w:type="spellEnd"/>
      <w:r w:rsidR="00B97C86">
        <w:t xml:space="preserve"> and an uplink-centric </w:t>
      </w:r>
      <w:proofErr w:type="spellStart"/>
      <w:r w:rsidR="00B97C86">
        <w:t>subframe</w:t>
      </w:r>
      <w:proofErr w:type="spellEnd"/>
      <w:r w:rsidR="00B97C86">
        <w:t xml:space="preserve"> are shown</w:t>
      </w:r>
      <w:r>
        <w:t xml:space="preserve">. </w:t>
      </w:r>
      <w:r w:rsidR="00E24CEF">
        <w:t>Note that no FD is provided for the co</w:t>
      </w:r>
      <w:r w:rsidR="00A011C1">
        <w:t xml:space="preserve">ntrol region, implying that </w:t>
      </w:r>
      <w:r w:rsidR="00E24CEF">
        <w:t>Phase 1</w:t>
      </w:r>
      <w:r w:rsidR="00A011C1">
        <w:t xml:space="preserve"> control signaling, located in the Phase 1 downlink and uplink control regions, is used. </w:t>
      </w:r>
    </w:p>
    <w:p w14:paraId="7D08FFD8" w14:textId="6B73D44C" w:rsidR="00E24CEF" w:rsidRDefault="00B22711" w:rsidP="00E24CEF">
      <w:pPr>
        <w:keepNext/>
        <w:jc w:val="center"/>
      </w:pPr>
      <w:r w:rsidRPr="00B22711">
        <w:rPr>
          <w:noProof/>
        </w:rPr>
        <w:lastRenderedPageBreak/>
        <w:drawing>
          <wp:inline distT="0" distB="0" distL="0" distR="0" wp14:anchorId="3B57B90F" wp14:editId="2F633D48">
            <wp:extent cx="6120765" cy="163449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634490"/>
                    </a:xfrm>
                    <a:prstGeom prst="rect">
                      <a:avLst/>
                    </a:prstGeom>
                  </pic:spPr>
                </pic:pic>
              </a:graphicData>
            </a:graphic>
          </wp:inline>
        </w:drawing>
      </w:r>
      <w:r w:rsidRPr="00B22711">
        <w:t xml:space="preserve"> </w:t>
      </w:r>
    </w:p>
    <w:p w14:paraId="2B6FC26C" w14:textId="23448C83" w:rsidR="00E24CEF" w:rsidRDefault="00E24CEF" w:rsidP="00E24CEF">
      <w:pPr>
        <w:pStyle w:val="Caption"/>
        <w:jc w:val="center"/>
      </w:pPr>
      <w:bookmarkStart w:id="13" w:name="_Ref466009298"/>
      <w:bookmarkStart w:id="14" w:name="_Ref466009292"/>
      <w:r>
        <w:t xml:space="preserve">Figure </w:t>
      </w:r>
      <w:r w:rsidR="0025011F">
        <w:fldChar w:fldCharType="begin"/>
      </w:r>
      <w:r w:rsidR="0025011F">
        <w:instrText xml:space="preserve"> SEQ Figure \* ARABIC </w:instrText>
      </w:r>
      <w:r w:rsidR="0025011F">
        <w:fldChar w:fldCharType="separate"/>
      </w:r>
      <w:r w:rsidR="00360393">
        <w:rPr>
          <w:noProof/>
        </w:rPr>
        <w:t>1</w:t>
      </w:r>
      <w:r w:rsidR="0025011F">
        <w:rPr>
          <w:noProof/>
        </w:rPr>
        <w:fldChar w:fldCharType="end"/>
      </w:r>
      <w:bookmarkEnd w:id="13"/>
      <w:r>
        <w:t>. Example configuration of FD design with Phase 1 control channel reuse.</w:t>
      </w:r>
      <w:bookmarkEnd w:id="14"/>
    </w:p>
    <w:p w14:paraId="6887DB2E" w14:textId="1782A366" w:rsidR="00337E11" w:rsidRDefault="00B22711" w:rsidP="00501087">
      <w:r>
        <w:t xml:space="preserve">In addition to the advantages in </w:t>
      </w:r>
      <w:r w:rsidR="00337E11">
        <w:t xml:space="preserve">terms of design, reusing Phase 1 control channels and protocols also has operational advantages. First, it simplifies the inclusion </w:t>
      </w:r>
      <w:r w:rsidR="00E4104E">
        <w:t>of F</w:t>
      </w:r>
      <w:r w:rsidR="00337E11">
        <w:t xml:space="preserve">C regions, since only space for data transmission must be reserved. Smaller allocations for control signals, including scheduling or HARQ feedback, are not needed since Phase 1 control regions can be used. As a result, a reduction in signaling </w:t>
      </w:r>
      <w:r w:rsidR="00E4104E">
        <w:t>overhead to indicate F</w:t>
      </w:r>
      <w:r w:rsidR="00337E11">
        <w:t xml:space="preserve">C resources can be expected. </w:t>
      </w:r>
    </w:p>
    <w:p w14:paraId="2737653A" w14:textId="3166DB15" w:rsidR="00337E11" w:rsidRDefault="00337E11" w:rsidP="00501087">
      <w:r>
        <w:t>A second operational advantage is related to the HARQ protocol. By reusing the Phase 1 control regions, more flexibility can be expected to schedule HARQ feedback, since there is no need to wait for a specific ACK/NACK transmissio</w:t>
      </w:r>
      <w:r w:rsidR="00FF56E8">
        <w:t>n opportunity in a specific region defined for FC</w:t>
      </w:r>
      <w:r w:rsidR="00B6142B">
        <w:t xml:space="preserve">. This concept is illustrated in </w:t>
      </w:r>
      <w:r w:rsidR="00B6142B">
        <w:fldChar w:fldCharType="begin"/>
      </w:r>
      <w:r w:rsidR="00B6142B">
        <w:instrText xml:space="preserve"> REF _Ref466010788 \h </w:instrText>
      </w:r>
      <w:r w:rsidR="00B6142B">
        <w:fldChar w:fldCharType="separate"/>
      </w:r>
      <w:r w:rsidR="00B6142B">
        <w:t xml:space="preserve">Figure </w:t>
      </w:r>
      <w:r w:rsidR="00B6142B">
        <w:rPr>
          <w:noProof/>
        </w:rPr>
        <w:t>2</w:t>
      </w:r>
      <w:r w:rsidR="00B6142B">
        <w:fldChar w:fldCharType="end"/>
      </w:r>
      <w:r w:rsidR="00B6142B">
        <w:t xml:space="preserve"> for a downlink-centric </w:t>
      </w:r>
      <w:proofErr w:type="spellStart"/>
      <w:r w:rsidR="00B6142B">
        <w:t>subframe</w:t>
      </w:r>
      <w:proofErr w:type="spellEnd"/>
      <w:r w:rsidR="00B6142B">
        <w:t xml:space="preserve">. </w:t>
      </w:r>
    </w:p>
    <w:p w14:paraId="3EA62C1E" w14:textId="77777777" w:rsidR="00DE2D74" w:rsidRPr="00DE2D74" w:rsidRDefault="00DE2D74" w:rsidP="00DE2D74"/>
    <w:p w14:paraId="6D2C76EE" w14:textId="205C461D" w:rsidR="00116F7E" w:rsidRDefault="0091260F" w:rsidP="00116F7E">
      <w:pPr>
        <w:keepNext/>
        <w:jc w:val="center"/>
      </w:pPr>
      <w:r w:rsidRPr="0091260F">
        <w:rPr>
          <w:noProof/>
        </w:rPr>
        <w:drawing>
          <wp:inline distT="0" distB="0" distL="0" distR="0" wp14:anchorId="0EFA8DCC" wp14:editId="64C90328">
            <wp:extent cx="5647481" cy="16205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68668" cy="1626677"/>
                    </a:xfrm>
                    <a:prstGeom prst="rect">
                      <a:avLst/>
                    </a:prstGeom>
                  </pic:spPr>
                </pic:pic>
              </a:graphicData>
            </a:graphic>
          </wp:inline>
        </w:drawing>
      </w:r>
    </w:p>
    <w:p w14:paraId="2D4C6C93" w14:textId="0327C006" w:rsidR="0094585E" w:rsidRDefault="00116F7E" w:rsidP="00116F7E">
      <w:pPr>
        <w:pStyle w:val="Caption"/>
        <w:jc w:val="center"/>
      </w:pPr>
      <w:bookmarkStart w:id="15" w:name="_Ref466010788"/>
      <w:r>
        <w:t xml:space="preserve">Figure </w:t>
      </w:r>
      <w:r w:rsidR="0025011F">
        <w:fldChar w:fldCharType="begin"/>
      </w:r>
      <w:r w:rsidR="0025011F">
        <w:instrText xml:space="preserve"> SEQ </w:instrText>
      </w:r>
      <w:r w:rsidR="0025011F">
        <w:instrText xml:space="preserve">Figure \* ARABIC </w:instrText>
      </w:r>
      <w:r w:rsidR="0025011F">
        <w:fldChar w:fldCharType="separate"/>
      </w:r>
      <w:r w:rsidR="00360393">
        <w:rPr>
          <w:noProof/>
        </w:rPr>
        <w:t>2</w:t>
      </w:r>
      <w:r w:rsidR="0025011F">
        <w:rPr>
          <w:noProof/>
        </w:rPr>
        <w:fldChar w:fldCharType="end"/>
      </w:r>
      <w:bookmarkEnd w:id="15"/>
      <w:r>
        <w:t xml:space="preserve">. Illustration of </w:t>
      </w:r>
      <w:r w:rsidR="0091260F">
        <w:t>HARQ flow reusing Phase 1 control channel</w:t>
      </w:r>
      <w:r>
        <w:t>.</w:t>
      </w:r>
    </w:p>
    <w:p w14:paraId="0FEB0549" w14:textId="207DBA9B" w:rsidR="00B84162" w:rsidRDefault="0091260F" w:rsidP="00B6142B">
      <w:r>
        <w:t>In order to e</w:t>
      </w:r>
      <w:r w:rsidR="002A3BF9">
        <w:t>nsure Phase 1 control channel</w:t>
      </w:r>
      <w:r w:rsidR="00B84162">
        <w:t xml:space="preserve"> and protocol</w:t>
      </w:r>
      <w:r w:rsidR="002A3BF9">
        <w:t xml:space="preserve"> reuse</w:t>
      </w:r>
      <w:r>
        <w:t>, the following aspects</w:t>
      </w:r>
      <w:r w:rsidR="00CB0558">
        <w:t xml:space="preserve"> should be observed</w:t>
      </w:r>
      <w:r>
        <w:t>:</w:t>
      </w:r>
    </w:p>
    <w:p w14:paraId="32E2846C" w14:textId="11E590D3" w:rsidR="00B84162" w:rsidRDefault="00B84162" w:rsidP="002A3BF9">
      <w:pPr>
        <w:numPr>
          <w:ilvl w:val="0"/>
          <w:numId w:val="10"/>
        </w:numPr>
      </w:pPr>
      <w:r w:rsidRPr="00E42F91">
        <w:t>Initial configuration</w:t>
      </w:r>
      <w:r>
        <w:t xml:space="preserve">: a UE </w:t>
      </w:r>
      <w:r w:rsidR="009163EA">
        <w:t>could</w:t>
      </w:r>
      <w:r>
        <w:t xml:space="preserve"> be configured to transmit/receive FD transmissions with upper layer signaling. It should be consider</w:t>
      </w:r>
      <w:r w:rsidR="003B2D81">
        <w:t>ed</w:t>
      </w:r>
      <w:r>
        <w:t xml:space="preserve"> for further study whether a UE can receive both Phase 1 and FD transmissions, either simultaneously or in alternate </w:t>
      </w:r>
      <w:proofErr w:type="spellStart"/>
      <w:r>
        <w:t>subframes</w:t>
      </w:r>
      <w:proofErr w:type="spellEnd"/>
      <w:r>
        <w:t>.</w:t>
      </w:r>
    </w:p>
    <w:p w14:paraId="19704D80" w14:textId="69C7167A" w:rsidR="00B84162" w:rsidRDefault="00B84162" w:rsidP="002A3BF9">
      <w:pPr>
        <w:numPr>
          <w:ilvl w:val="0"/>
          <w:numId w:val="10"/>
        </w:numPr>
      </w:pPr>
      <w:r w:rsidRPr="00E42F91">
        <w:t>Allocation of FC region</w:t>
      </w:r>
      <w:r>
        <w:t xml:space="preserve">: A time-frequency region should be allocated for </w:t>
      </w:r>
      <w:r w:rsidR="00FF56E8">
        <w:t xml:space="preserve">FC, containing </w:t>
      </w:r>
      <w:r>
        <w:t>FD transmissions. The allocation can be semi-static or dynamic. Implicit or explicit signaling of the FC region may be used.</w:t>
      </w:r>
    </w:p>
    <w:p w14:paraId="28640316" w14:textId="4227C5FD" w:rsidR="00B6142B" w:rsidRPr="00DE2D74" w:rsidRDefault="00B84162" w:rsidP="002A3BF9">
      <w:pPr>
        <w:numPr>
          <w:ilvl w:val="0"/>
          <w:numId w:val="10"/>
        </w:numPr>
      </w:pPr>
      <w:r w:rsidRPr="00E42F91">
        <w:t>Scheduling of FD transmissions</w:t>
      </w:r>
      <w:r>
        <w:t xml:space="preserve">: </w:t>
      </w:r>
      <w:r w:rsidR="00244F5B">
        <w:t>Phase 1 control channel should have the ability to schedule FD transmissions. It should not be precluded that FD transmissions have different granularity or resource partitioning schemes. For that reason, it should be possible to define, at a later stage, new DCI message formats not envisioned for Phase 1. Moreover, the Phase 1 uplink control channel should have the ability to carry scheduling requests for FD transmissions, according to the format defined in Phase 1.</w:t>
      </w:r>
    </w:p>
    <w:p w14:paraId="1FD727C7" w14:textId="2F560F7F" w:rsidR="00B6142B" w:rsidRPr="00DE2D74" w:rsidRDefault="00244F5B" w:rsidP="002A3BF9">
      <w:pPr>
        <w:numPr>
          <w:ilvl w:val="0"/>
          <w:numId w:val="10"/>
        </w:numPr>
      </w:pPr>
      <w:r w:rsidRPr="00E42F91">
        <w:t>HARQ feedback:</w:t>
      </w:r>
      <w:r>
        <w:t xml:space="preserve"> Phase 1 control channels should have the ability to carry HARQ feedback from FD transmissions.  </w:t>
      </w:r>
    </w:p>
    <w:p w14:paraId="1C1DCD65" w14:textId="1A59B784" w:rsidR="00B6142B" w:rsidRPr="00DE2D74" w:rsidRDefault="00036DD6" w:rsidP="002A3BF9">
      <w:pPr>
        <w:numPr>
          <w:ilvl w:val="0"/>
          <w:numId w:val="10"/>
        </w:numPr>
      </w:pPr>
      <w:r>
        <w:t>Phase 1 control region should also take into consideration c</w:t>
      </w:r>
      <w:r w:rsidR="00244F5B" w:rsidRPr="00E42F91">
        <w:t>ontrol information</w:t>
      </w:r>
      <w:r w:rsidR="00E42F91">
        <w:t xml:space="preserve"> of o</w:t>
      </w:r>
      <w:r w:rsidR="00244F5B">
        <w:t xml:space="preserve">ther network functions related to initial </w:t>
      </w:r>
      <w:r w:rsidR="00B6142B" w:rsidRPr="00DE2D74">
        <w:t>access, sync, beam tracking, etc.</w:t>
      </w:r>
      <w:r w:rsidR="00244F5B">
        <w:t xml:space="preserve"> intended for FD</w:t>
      </w:r>
      <w:r w:rsidR="00DD6A12">
        <w:t xml:space="preserve"> users</w:t>
      </w:r>
      <w:r>
        <w:t>.</w:t>
      </w:r>
    </w:p>
    <w:p w14:paraId="3E5D55D6" w14:textId="6954BEB1" w:rsidR="00B6142B" w:rsidRPr="00DE2D74" w:rsidRDefault="00B6142B" w:rsidP="002A3BF9">
      <w:pPr>
        <w:numPr>
          <w:ilvl w:val="0"/>
          <w:numId w:val="10"/>
        </w:numPr>
      </w:pPr>
      <w:r w:rsidRPr="00DE2D74">
        <w:t xml:space="preserve">Cross-carrier scheduling </w:t>
      </w:r>
      <w:r w:rsidR="00244F5B">
        <w:t>functions defined for Phase 1 should be extensible to UE configured for FD transmissions.</w:t>
      </w:r>
    </w:p>
    <w:p w14:paraId="73246FBA" w14:textId="77777777" w:rsidR="00244F5B" w:rsidRDefault="00244F5B" w:rsidP="0094585E"/>
    <w:p w14:paraId="484EB8E7" w14:textId="11D0CDC2" w:rsidR="00B6142B" w:rsidRDefault="002A3BF9" w:rsidP="0094585E">
      <w:r>
        <w:lastRenderedPageBreak/>
        <w:t>Our discussion can be summarized with the following observations:</w:t>
      </w:r>
    </w:p>
    <w:p w14:paraId="6B44ACC5" w14:textId="7968CA8C" w:rsidR="00DE2D74" w:rsidRPr="002A3BF9" w:rsidRDefault="00EA7A27" w:rsidP="0094585E">
      <w:pPr>
        <w:rPr>
          <w:b/>
          <w:i/>
        </w:rPr>
      </w:pPr>
      <w:r w:rsidRPr="002A3BF9">
        <w:rPr>
          <w:b/>
          <w:i/>
        </w:rPr>
        <w:t xml:space="preserve">Observation 1: </w:t>
      </w:r>
      <w:r w:rsidR="00E24CEF" w:rsidRPr="002A3BF9">
        <w:rPr>
          <w:b/>
          <w:i/>
        </w:rPr>
        <w:t xml:space="preserve">Reusing Phase 1 control channels </w:t>
      </w:r>
      <w:r w:rsidR="00337E11" w:rsidRPr="002A3BF9">
        <w:rPr>
          <w:b/>
          <w:i/>
        </w:rPr>
        <w:t xml:space="preserve">and protocols </w:t>
      </w:r>
      <w:r w:rsidR="00E24CEF" w:rsidRPr="002A3BF9">
        <w:rPr>
          <w:b/>
          <w:i/>
        </w:rPr>
        <w:t xml:space="preserve">may significantly speed up the introduction of a Future Design that targets improvements on physical data transmission and data channels, </w:t>
      </w:r>
      <w:r w:rsidRPr="002A3BF9">
        <w:rPr>
          <w:b/>
          <w:i/>
        </w:rPr>
        <w:t>since there are much less components to design</w:t>
      </w:r>
      <w:r w:rsidR="007321B2" w:rsidRPr="002A3BF9">
        <w:rPr>
          <w:b/>
          <w:i/>
        </w:rPr>
        <w:t>.</w:t>
      </w:r>
    </w:p>
    <w:p w14:paraId="64B6F14B" w14:textId="66B6400D" w:rsidR="00337E11" w:rsidRPr="002A3BF9" w:rsidRDefault="00337E11" w:rsidP="0094585E">
      <w:pPr>
        <w:rPr>
          <w:b/>
          <w:i/>
        </w:rPr>
      </w:pPr>
      <w:r w:rsidRPr="002A3BF9">
        <w:rPr>
          <w:b/>
          <w:i/>
        </w:rPr>
        <w:t>Observation 2: Reusing Phase 1 control channels may have operat</w:t>
      </w:r>
      <w:r w:rsidR="009A3124">
        <w:rPr>
          <w:b/>
          <w:i/>
        </w:rPr>
        <w:t>ional advantages, since only forward compatibility</w:t>
      </w:r>
      <w:r w:rsidRPr="002A3BF9">
        <w:rPr>
          <w:b/>
          <w:i/>
        </w:rPr>
        <w:t xml:space="preserve"> regions for data transmission must be reserved.</w:t>
      </w:r>
    </w:p>
    <w:p w14:paraId="12723584" w14:textId="5CAEDA9C" w:rsidR="002A3BF9" w:rsidRDefault="002A3BF9" w:rsidP="0094585E">
      <w:r>
        <w:t xml:space="preserve">The following is proposed for Forward Compatibility: </w:t>
      </w:r>
    </w:p>
    <w:p w14:paraId="45C43DA0" w14:textId="54F9ACB1" w:rsidR="00EA7A27" w:rsidRPr="002A3BF9" w:rsidRDefault="00EA7A27" w:rsidP="0094585E">
      <w:pPr>
        <w:rPr>
          <w:b/>
          <w:i/>
        </w:rPr>
      </w:pPr>
      <w:r w:rsidRPr="002A3BF9">
        <w:rPr>
          <w:b/>
          <w:i/>
        </w:rPr>
        <w:t>Proposal 1: Phase 1 control channel design should be designed to support, in a forward comp</w:t>
      </w:r>
      <w:r w:rsidR="007321B2" w:rsidRPr="002A3BF9">
        <w:rPr>
          <w:b/>
          <w:i/>
        </w:rPr>
        <w:t xml:space="preserve">atible way, data transmission using a </w:t>
      </w:r>
      <w:r w:rsidR="009A3124">
        <w:rPr>
          <w:b/>
          <w:i/>
        </w:rPr>
        <w:t>future d</w:t>
      </w:r>
      <w:r w:rsidR="007321B2" w:rsidRPr="002A3BF9">
        <w:rPr>
          <w:b/>
          <w:i/>
        </w:rPr>
        <w:t xml:space="preserve">esign. </w:t>
      </w:r>
    </w:p>
    <w:p w14:paraId="13AEAC53" w14:textId="77777777" w:rsidR="00EA7A27" w:rsidRPr="0094585E" w:rsidRDefault="00EA7A27" w:rsidP="0094585E"/>
    <w:p w14:paraId="66A52145" w14:textId="1AEEC0A8" w:rsidR="008E32FB" w:rsidRPr="008E32FB" w:rsidRDefault="0094585E" w:rsidP="00FA2888">
      <w:pPr>
        <w:pStyle w:val="Heading2"/>
      </w:pPr>
      <w:r>
        <w:t>F</w:t>
      </w:r>
      <w:r w:rsidR="000C7F5F">
        <w:t xml:space="preserve">orward Compatibility </w:t>
      </w:r>
      <w:r w:rsidR="00187D9B">
        <w:t>W</w:t>
      </w:r>
      <w:r w:rsidR="00831636">
        <w:t>ithout Phase 1 Control Signaling</w:t>
      </w:r>
      <w:r w:rsidR="00187D9B">
        <w:t xml:space="preserve"> Reuse</w:t>
      </w:r>
    </w:p>
    <w:p w14:paraId="002FAD3E" w14:textId="0962F685" w:rsidR="008E32FB" w:rsidRDefault="006F56DB" w:rsidP="008E32FB">
      <w:r>
        <w:t xml:space="preserve">Forward compatibility should also account for the </w:t>
      </w:r>
      <w:r w:rsidR="0017135D">
        <w:t>introduction of new systems for which the Phase 1 control signaling scheme may not be reused. In this scenario, FC regions for future control channel designs should be reserved. To ensure that FD users can attain the same performance as Phase 1 users, in terms of throughput and latency, it should be possible to adapt the size</w:t>
      </w:r>
      <w:r w:rsidR="009A3124">
        <w:t xml:space="preserve"> of</w:t>
      </w:r>
      <w:r w:rsidR="0017135D">
        <w:t xml:space="preserve"> Phase 1 control regions to make space for FD control regions. This is particularly critical for self-contained </w:t>
      </w:r>
      <w:proofErr w:type="spellStart"/>
      <w:r w:rsidR="0017135D">
        <w:t>subframes</w:t>
      </w:r>
      <w:proofErr w:type="spellEnd"/>
      <w:r w:rsidR="0017135D">
        <w:t>, where it is possible that, in either uplink or downlink direction, all resources are allocated to the control region. An example is provided in</w:t>
      </w:r>
      <w:r w:rsidR="00C759D5">
        <w:t xml:space="preserve"> </w:t>
      </w:r>
      <w:r w:rsidR="00C759D5">
        <w:fldChar w:fldCharType="begin"/>
      </w:r>
      <w:r w:rsidR="00C759D5">
        <w:instrText xml:space="preserve"> REF _Ref466015310 \h </w:instrText>
      </w:r>
      <w:r w:rsidR="00C759D5">
        <w:fldChar w:fldCharType="separate"/>
      </w:r>
      <w:r w:rsidR="00C759D5">
        <w:t xml:space="preserve">Figure </w:t>
      </w:r>
      <w:r w:rsidR="00C759D5">
        <w:rPr>
          <w:noProof/>
        </w:rPr>
        <w:t>3</w:t>
      </w:r>
      <w:r w:rsidR="00C759D5">
        <w:fldChar w:fldCharType="end"/>
      </w:r>
      <w:r w:rsidR="0017135D">
        <w:t xml:space="preserve">. Note that, in this example, </w:t>
      </w:r>
      <w:r w:rsidR="00CB0FD1">
        <w:t xml:space="preserve">if only resources corresponding to the shared data channel are available for </w:t>
      </w:r>
      <w:r w:rsidR="00C759D5">
        <w:t xml:space="preserve">the </w:t>
      </w:r>
      <w:r w:rsidR="00CB0FD1">
        <w:t xml:space="preserve">FD, it would not be possible to schedule HARQ feedback in the same </w:t>
      </w:r>
      <w:proofErr w:type="spellStart"/>
      <w:r w:rsidR="00CB0FD1">
        <w:t>subframe</w:t>
      </w:r>
      <w:proofErr w:type="spellEnd"/>
      <w:r w:rsidR="00CB0FD1">
        <w:t xml:space="preserve"> where the original transmission takes place. This would make it impossible to have self-contained transmissions using a FD for control and data transmission, and UE in FD mode would incur a significant latency penalty.</w:t>
      </w:r>
      <w:r w:rsidR="00E03823">
        <w:t xml:space="preserve"> Moreover, this would result in additional scheduling constraints regarding the uplink/downlink nature of the data region.</w:t>
      </w:r>
    </w:p>
    <w:p w14:paraId="3167E56D" w14:textId="6374A84C" w:rsidR="00C759D5" w:rsidRDefault="003A4C50" w:rsidP="00C759D5">
      <w:pPr>
        <w:keepNext/>
        <w:jc w:val="center"/>
      </w:pPr>
      <w:r w:rsidRPr="003A4C50">
        <w:drawing>
          <wp:inline distT="0" distB="0" distL="0" distR="0" wp14:anchorId="493EDED9" wp14:editId="686F1DDF">
            <wp:extent cx="6120765" cy="147701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477010"/>
                    </a:xfrm>
                    <a:prstGeom prst="rect">
                      <a:avLst/>
                    </a:prstGeom>
                  </pic:spPr>
                </pic:pic>
              </a:graphicData>
            </a:graphic>
          </wp:inline>
        </w:drawing>
      </w:r>
      <w:bookmarkStart w:id="16" w:name="_GoBack"/>
      <w:bookmarkEnd w:id="16"/>
    </w:p>
    <w:p w14:paraId="79F0097F" w14:textId="2449E057" w:rsidR="00CB0FD1" w:rsidRDefault="00C759D5" w:rsidP="00C759D5">
      <w:pPr>
        <w:pStyle w:val="Caption"/>
        <w:jc w:val="center"/>
      </w:pPr>
      <w:bookmarkStart w:id="17" w:name="_Ref466015310"/>
      <w:r>
        <w:t xml:space="preserve">Figure </w:t>
      </w:r>
      <w:r w:rsidR="0025011F">
        <w:fldChar w:fldCharType="begin"/>
      </w:r>
      <w:r w:rsidR="0025011F">
        <w:instrText xml:space="preserve"> SEQ Figure \* ARABIC </w:instrText>
      </w:r>
      <w:r w:rsidR="0025011F">
        <w:fldChar w:fldCharType="separate"/>
      </w:r>
      <w:r w:rsidR="00360393">
        <w:rPr>
          <w:noProof/>
        </w:rPr>
        <w:t>3</w:t>
      </w:r>
      <w:r w:rsidR="0025011F">
        <w:rPr>
          <w:noProof/>
        </w:rPr>
        <w:fldChar w:fldCharType="end"/>
      </w:r>
      <w:bookmarkEnd w:id="17"/>
      <w:r>
        <w:t xml:space="preserve">. Illustration of HARQ cycle. </w:t>
      </w:r>
      <w:r w:rsidR="00800418">
        <w:t>All</w:t>
      </w:r>
      <w:r>
        <w:t xml:space="preserve"> control region resources are reser</w:t>
      </w:r>
      <w:r w:rsidR="00800418">
        <w:t>ved for Phase 1 control channel, which results in a much longer HARQ cycle for FD UE</w:t>
      </w:r>
      <w:r>
        <w:t>.</w:t>
      </w:r>
    </w:p>
    <w:p w14:paraId="6342262E" w14:textId="51842A85" w:rsidR="00CB0FD1" w:rsidRDefault="00E44E5F" w:rsidP="008E32FB">
      <w:r>
        <w:t>Enabling allocation of control resources for Future Designs is much more effective</w:t>
      </w:r>
      <w:r w:rsidR="00360393">
        <w:t xml:space="preserve">. As it can be seen in </w:t>
      </w:r>
      <w:r w:rsidR="00360393">
        <w:fldChar w:fldCharType="begin"/>
      </w:r>
      <w:r w:rsidR="00360393">
        <w:instrText xml:space="preserve"> REF _Ref466016135 \h </w:instrText>
      </w:r>
      <w:r w:rsidR="00360393">
        <w:fldChar w:fldCharType="separate"/>
      </w:r>
      <w:r w:rsidR="00360393">
        <w:t xml:space="preserve">Figure </w:t>
      </w:r>
      <w:r w:rsidR="00360393">
        <w:rPr>
          <w:noProof/>
        </w:rPr>
        <w:t>4</w:t>
      </w:r>
      <w:r w:rsidR="00360393">
        <w:fldChar w:fldCharType="end"/>
      </w:r>
      <w:r w:rsidR="00CB0558">
        <w:t xml:space="preserve">, FD users can complete a HARQ cycle within a </w:t>
      </w:r>
      <w:proofErr w:type="spellStart"/>
      <w:r w:rsidR="00CB0558">
        <w:t>subframe</w:t>
      </w:r>
      <w:proofErr w:type="spellEnd"/>
      <w:r w:rsidR="00CB0558">
        <w:t xml:space="preserve">, preserving the advantage of the self-contained design. </w:t>
      </w:r>
    </w:p>
    <w:p w14:paraId="1DDB62DF" w14:textId="77777777" w:rsidR="00360393" w:rsidRDefault="00360393" w:rsidP="00360393">
      <w:pPr>
        <w:keepNext/>
        <w:jc w:val="center"/>
      </w:pPr>
      <w:r w:rsidRPr="00360393">
        <w:rPr>
          <w:noProof/>
        </w:rPr>
        <w:drawing>
          <wp:inline distT="0" distB="0" distL="0" distR="0" wp14:anchorId="37600E10" wp14:editId="734157EA">
            <wp:extent cx="4504481" cy="143887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39790" cy="1450152"/>
                    </a:xfrm>
                    <a:prstGeom prst="rect">
                      <a:avLst/>
                    </a:prstGeom>
                  </pic:spPr>
                </pic:pic>
              </a:graphicData>
            </a:graphic>
          </wp:inline>
        </w:drawing>
      </w:r>
    </w:p>
    <w:p w14:paraId="24B197BD" w14:textId="3216EB92" w:rsidR="00E44E5F" w:rsidRPr="008E32FB" w:rsidRDefault="00360393" w:rsidP="00360393">
      <w:pPr>
        <w:pStyle w:val="Caption"/>
        <w:jc w:val="center"/>
      </w:pPr>
      <w:bookmarkStart w:id="18" w:name="_Ref466016135"/>
      <w:r>
        <w:t xml:space="preserve">Figure </w:t>
      </w:r>
      <w:r w:rsidR="0025011F">
        <w:fldChar w:fldCharType="begin"/>
      </w:r>
      <w:r w:rsidR="0025011F">
        <w:instrText xml:space="preserve"> SEQ Figure \* ARABIC </w:instrText>
      </w:r>
      <w:r w:rsidR="0025011F">
        <w:fldChar w:fldCharType="separate"/>
      </w:r>
      <w:r>
        <w:rPr>
          <w:noProof/>
        </w:rPr>
        <w:t>4</w:t>
      </w:r>
      <w:r w:rsidR="0025011F">
        <w:rPr>
          <w:noProof/>
        </w:rPr>
        <w:fldChar w:fldCharType="end"/>
      </w:r>
      <w:bookmarkEnd w:id="18"/>
      <w:r>
        <w:t>. Allocation of FC resources in both data and control regions.</w:t>
      </w:r>
    </w:p>
    <w:p w14:paraId="35D2DE44" w14:textId="7234999C" w:rsidR="003B2D81" w:rsidRDefault="00CB0558" w:rsidP="008E32FB">
      <w:r>
        <w:t>In order to ensure effective operation of users in FD mode, the following aspects related to the allocation of FC resources should be observed:</w:t>
      </w:r>
    </w:p>
    <w:p w14:paraId="1CAF30B1" w14:textId="19A7A132" w:rsidR="003B2D81" w:rsidRDefault="003B2D81" w:rsidP="003B2D81">
      <w:pPr>
        <w:numPr>
          <w:ilvl w:val="0"/>
          <w:numId w:val="10"/>
        </w:numPr>
      </w:pPr>
      <w:r>
        <w:lastRenderedPageBreak/>
        <w:t xml:space="preserve">Initial configuration: a UE </w:t>
      </w:r>
      <w:r w:rsidR="00085D6F">
        <w:t>c</w:t>
      </w:r>
      <w:r>
        <w:t>ould be configured to transmit/receive FD transmissions with upper layer signaling. It should be considered for further study whether a UE can receive both Phase 1 and FD transmissions</w:t>
      </w:r>
      <w:r w:rsidR="00085D6F">
        <w:t xml:space="preserve"> in a given session</w:t>
      </w:r>
      <w:r>
        <w:t xml:space="preserve">, either simultaneously or in alternate </w:t>
      </w:r>
      <w:proofErr w:type="spellStart"/>
      <w:r>
        <w:t>subframes</w:t>
      </w:r>
      <w:proofErr w:type="spellEnd"/>
      <w:r>
        <w:t>.</w:t>
      </w:r>
    </w:p>
    <w:p w14:paraId="370ADB1C" w14:textId="77777777" w:rsidR="00557401" w:rsidRDefault="003B2D81" w:rsidP="003B2D81">
      <w:pPr>
        <w:numPr>
          <w:ilvl w:val="0"/>
          <w:numId w:val="10"/>
        </w:numPr>
      </w:pPr>
      <w:r>
        <w:t>Allocation of FC region: A time-frequency region should be allocated for FD transmissions. The allocation can be semi-static or dynamic. Implicit or explicit signaling of the FC region may be used.</w:t>
      </w:r>
      <w:r w:rsidR="00557401">
        <w:t xml:space="preserve"> </w:t>
      </w:r>
      <w:r w:rsidR="00557401" w:rsidRPr="00557401">
        <w:t xml:space="preserve">It should be possible to reserve resources for FC in both control and data regions. This is particularly important for self-contained </w:t>
      </w:r>
      <w:proofErr w:type="spellStart"/>
      <w:r w:rsidR="00557401" w:rsidRPr="00557401">
        <w:t>subframes</w:t>
      </w:r>
      <w:proofErr w:type="spellEnd"/>
      <w:r w:rsidR="00557401" w:rsidRPr="00557401">
        <w:t xml:space="preserve">. </w:t>
      </w:r>
      <w:r w:rsidR="00557401">
        <w:t>It should be considered for further study whether c</w:t>
      </w:r>
      <w:r w:rsidR="00557401" w:rsidRPr="00DE2D74">
        <w:t xml:space="preserve">ross-carrier </w:t>
      </w:r>
      <w:r w:rsidR="00557401">
        <w:t>allocation of FC regions should be used.</w:t>
      </w:r>
    </w:p>
    <w:p w14:paraId="07EBB59E" w14:textId="16D9BA19" w:rsidR="003B2D81" w:rsidRDefault="00557401" w:rsidP="003B2D81">
      <w:pPr>
        <w:numPr>
          <w:ilvl w:val="0"/>
          <w:numId w:val="10"/>
        </w:numPr>
      </w:pPr>
      <w:r>
        <w:t>Size of control region: Variable size of the Phase 1 control region should be supported, to minimize overhead when a large part of</w:t>
      </w:r>
      <w:r w:rsidR="00EE7A17">
        <w:t xml:space="preserve"> data transmission resources is</w:t>
      </w:r>
      <w:r>
        <w:t xml:space="preserve"> allocated for FC. </w:t>
      </w:r>
    </w:p>
    <w:p w14:paraId="6EA3CAFD" w14:textId="39C510EC" w:rsidR="003B2D81" w:rsidRDefault="00EE7A17" w:rsidP="008E32FB">
      <w:r>
        <w:t>We summarize our views in the following observations:</w:t>
      </w:r>
    </w:p>
    <w:p w14:paraId="6AF5F41C" w14:textId="773B5389" w:rsidR="00EE7A17" w:rsidRPr="00FD4C4F" w:rsidRDefault="00EE7A17" w:rsidP="00116F7E">
      <w:pPr>
        <w:rPr>
          <w:b/>
          <w:i/>
        </w:rPr>
      </w:pPr>
      <w:r w:rsidRPr="00FD4C4F">
        <w:rPr>
          <w:b/>
          <w:i/>
        </w:rPr>
        <w:t>Observation</w:t>
      </w:r>
      <w:r w:rsidR="009B18A6">
        <w:rPr>
          <w:b/>
          <w:i/>
        </w:rPr>
        <w:t xml:space="preserve"> 3</w:t>
      </w:r>
      <w:r w:rsidRPr="00FD4C4F">
        <w:rPr>
          <w:b/>
          <w:i/>
        </w:rPr>
        <w:t xml:space="preserve">: </w:t>
      </w:r>
      <w:r w:rsidR="00FD4C4F" w:rsidRPr="00FD4C4F">
        <w:rPr>
          <w:b/>
          <w:i/>
        </w:rPr>
        <w:t xml:space="preserve">In order </w:t>
      </w:r>
      <w:r w:rsidR="00181795">
        <w:rPr>
          <w:b/>
          <w:i/>
        </w:rPr>
        <w:t xml:space="preserve">to </w:t>
      </w:r>
      <w:r w:rsidR="00FD4C4F" w:rsidRPr="00FD4C4F">
        <w:rPr>
          <w:b/>
          <w:i/>
        </w:rPr>
        <w:t xml:space="preserve">achieve good performance of future designs utilizing resources reserved for forward compatibility, it should be possible to reserve resources in the control region as well as the data region. This is particularly important to minimize latency in self-contained </w:t>
      </w:r>
      <w:proofErr w:type="spellStart"/>
      <w:r w:rsidR="00FD4C4F" w:rsidRPr="00FD4C4F">
        <w:rPr>
          <w:b/>
          <w:i/>
        </w:rPr>
        <w:t>subframes</w:t>
      </w:r>
      <w:proofErr w:type="spellEnd"/>
      <w:r w:rsidR="00FD4C4F" w:rsidRPr="00FD4C4F">
        <w:rPr>
          <w:b/>
          <w:i/>
        </w:rPr>
        <w:t>.</w:t>
      </w:r>
    </w:p>
    <w:p w14:paraId="78A2BBD9" w14:textId="0262B815" w:rsidR="00EE7A17" w:rsidRDefault="00EE7A17" w:rsidP="00116F7E">
      <w:pPr>
        <w:rPr>
          <w:b/>
          <w:i/>
        </w:rPr>
      </w:pPr>
      <w:r w:rsidRPr="00FD4C4F">
        <w:rPr>
          <w:b/>
          <w:i/>
        </w:rPr>
        <w:t>Observation</w:t>
      </w:r>
      <w:r w:rsidR="009B18A6">
        <w:rPr>
          <w:b/>
          <w:i/>
        </w:rPr>
        <w:t xml:space="preserve"> 4</w:t>
      </w:r>
      <w:r w:rsidRPr="00FD4C4F">
        <w:rPr>
          <w:b/>
          <w:i/>
        </w:rPr>
        <w:t>:</w:t>
      </w:r>
      <w:r w:rsidR="00FD4C4F" w:rsidRPr="00FD4C4F">
        <w:rPr>
          <w:b/>
          <w:i/>
        </w:rPr>
        <w:t xml:space="preserve"> </w:t>
      </w:r>
      <w:r w:rsidR="000D468B">
        <w:rPr>
          <w:b/>
          <w:i/>
        </w:rPr>
        <w:t>A variable/configurable size of</w:t>
      </w:r>
      <w:r w:rsidR="00FD4C4F" w:rsidRPr="00FD4C4F">
        <w:rPr>
          <w:b/>
          <w:i/>
        </w:rPr>
        <w:t xml:space="preserve"> the Phase 1 control region </w:t>
      </w:r>
      <w:r w:rsidR="000D468B">
        <w:rPr>
          <w:b/>
          <w:i/>
        </w:rPr>
        <w:t>is necessary</w:t>
      </w:r>
      <w:r w:rsidR="00FD4C4F" w:rsidRPr="00FD4C4F">
        <w:rPr>
          <w:b/>
          <w:i/>
        </w:rPr>
        <w:t xml:space="preserve"> to allow allocation of resources for forward compatibility</w:t>
      </w:r>
      <w:r w:rsidR="000D468B">
        <w:rPr>
          <w:b/>
          <w:i/>
        </w:rPr>
        <w:t xml:space="preserve"> in the </w:t>
      </w:r>
      <w:proofErr w:type="spellStart"/>
      <w:r w:rsidR="000D468B">
        <w:rPr>
          <w:b/>
          <w:i/>
        </w:rPr>
        <w:t>subframe</w:t>
      </w:r>
      <w:proofErr w:type="spellEnd"/>
      <w:r w:rsidR="000D468B">
        <w:rPr>
          <w:b/>
          <w:i/>
        </w:rPr>
        <w:t xml:space="preserve"> control regions</w:t>
      </w:r>
      <w:r w:rsidR="00FD4C4F" w:rsidRPr="00FD4C4F">
        <w:rPr>
          <w:b/>
          <w:i/>
        </w:rPr>
        <w:t>.</w:t>
      </w:r>
    </w:p>
    <w:p w14:paraId="29D15267" w14:textId="1055ECAB" w:rsidR="000D468B" w:rsidRPr="000D468B" w:rsidRDefault="000D468B" w:rsidP="00116F7E">
      <w:r>
        <w:t xml:space="preserve">Accordingly, the following is proposed for Forward Compatibility: </w:t>
      </w:r>
    </w:p>
    <w:p w14:paraId="6ADBD473" w14:textId="4B6506C1" w:rsidR="002856AF" w:rsidRDefault="00EE7A17" w:rsidP="00347CA7">
      <w:pPr>
        <w:rPr>
          <w:b/>
          <w:i/>
        </w:rPr>
      </w:pPr>
      <w:r w:rsidRPr="00FD4C4F">
        <w:rPr>
          <w:b/>
          <w:i/>
        </w:rPr>
        <w:t>Proposal</w:t>
      </w:r>
      <w:r w:rsidR="009B18A6">
        <w:rPr>
          <w:b/>
          <w:i/>
        </w:rPr>
        <w:t xml:space="preserve"> 2</w:t>
      </w:r>
      <w:r w:rsidRPr="00FD4C4F">
        <w:rPr>
          <w:b/>
          <w:i/>
        </w:rPr>
        <w:t>: It should be possible to allocate resources for forward compatibility in the control regions</w:t>
      </w:r>
      <w:r w:rsidR="00FD4C4F" w:rsidRPr="00FD4C4F">
        <w:rPr>
          <w:b/>
          <w:i/>
        </w:rPr>
        <w:t xml:space="preserve">, including for self-contained </w:t>
      </w:r>
      <w:proofErr w:type="spellStart"/>
      <w:r w:rsidR="00FD4C4F" w:rsidRPr="00FD4C4F">
        <w:rPr>
          <w:b/>
          <w:i/>
        </w:rPr>
        <w:t>subframes</w:t>
      </w:r>
      <w:proofErr w:type="spellEnd"/>
      <w:r w:rsidRPr="00FD4C4F">
        <w:rPr>
          <w:b/>
          <w:i/>
        </w:rPr>
        <w:t xml:space="preserve">. </w:t>
      </w:r>
      <w:r w:rsidR="00FD4C4F" w:rsidRPr="00FD4C4F">
        <w:rPr>
          <w:b/>
          <w:i/>
        </w:rPr>
        <w:t>To that effect, the size of the control region for Phase 1 should be configurable.</w:t>
      </w:r>
    </w:p>
    <w:p w14:paraId="7DC10183" w14:textId="77777777" w:rsidR="000D468B" w:rsidRPr="000D468B" w:rsidRDefault="000D468B" w:rsidP="00347CA7">
      <w:pPr>
        <w:rPr>
          <w:b/>
          <w:i/>
        </w:rPr>
      </w:pPr>
    </w:p>
    <w:p w14:paraId="684007AB" w14:textId="6428E636" w:rsidR="0094585E" w:rsidRDefault="0094585E" w:rsidP="0094585E">
      <w:pPr>
        <w:pStyle w:val="Heading2"/>
      </w:pPr>
      <w:r>
        <w:t>Conclusions</w:t>
      </w:r>
    </w:p>
    <w:p w14:paraId="4B2AB62B" w14:textId="5D800FCD" w:rsidR="00FD4C4F" w:rsidRDefault="00EE7A17" w:rsidP="00304B49">
      <w:r>
        <w:t>In this contribution we discussed forward compatibility</w:t>
      </w:r>
      <w:r w:rsidR="00FD4C4F">
        <w:t xml:space="preserve"> aspects related to the control channel. Two cases were considered. First, we considered reusing Phase 1 control signaling for future designs focused on data transmission. The following observations were made:</w:t>
      </w:r>
    </w:p>
    <w:p w14:paraId="195523C1" w14:textId="77777777" w:rsidR="009B18A6" w:rsidRPr="002A3BF9" w:rsidRDefault="009B18A6" w:rsidP="009B18A6">
      <w:pPr>
        <w:rPr>
          <w:b/>
          <w:i/>
        </w:rPr>
      </w:pPr>
      <w:r w:rsidRPr="002A3BF9">
        <w:rPr>
          <w:b/>
          <w:i/>
        </w:rPr>
        <w:t>Observation 1: Reusing Phase 1 control channels and protocols may significantly speed up the introduction of a Future Design that targets improvements on physical data transmission and data channels, since there are much less components to design.</w:t>
      </w:r>
    </w:p>
    <w:p w14:paraId="72496B91" w14:textId="77777777" w:rsidR="009B18A6" w:rsidRPr="002A3BF9" w:rsidRDefault="009B18A6" w:rsidP="009B18A6">
      <w:pPr>
        <w:rPr>
          <w:b/>
          <w:i/>
        </w:rPr>
      </w:pPr>
      <w:r w:rsidRPr="002A3BF9">
        <w:rPr>
          <w:b/>
          <w:i/>
        </w:rPr>
        <w:t>Observation 2: Reusing Phase 1 control channels may have operational advantages, since only FWC regions for data transmission must be reserved.</w:t>
      </w:r>
    </w:p>
    <w:p w14:paraId="5003D575" w14:textId="21B55713" w:rsidR="00921133" w:rsidRDefault="00FD4C4F" w:rsidP="00304B49">
      <w:r>
        <w:t>Next, we considered the case where there is no reuse of Phase 1 control signals. The following observations were made.</w:t>
      </w:r>
    </w:p>
    <w:p w14:paraId="42D4E055" w14:textId="3A00A54F" w:rsidR="009B18A6" w:rsidRPr="00FD4C4F" w:rsidRDefault="009B18A6" w:rsidP="009B18A6">
      <w:pPr>
        <w:rPr>
          <w:b/>
          <w:i/>
        </w:rPr>
      </w:pPr>
      <w:r w:rsidRPr="00FD4C4F">
        <w:rPr>
          <w:b/>
          <w:i/>
        </w:rPr>
        <w:t>Observation</w:t>
      </w:r>
      <w:r>
        <w:rPr>
          <w:b/>
          <w:i/>
        </w:rPr>
        <w:t xml:space="preserve"> 3</w:t>
      </w:r>
      <w:r w:rsidRPr="00FD4C4F">
        <w:rPr>
          <w:b/>
          <w:i/>
        </w:rPr>
        <w:t xml:space="preserve">: In order </w:t>
      </w:r>
      <w:r w:rsidR="00181795">
        <w:rPr>
          <w:b/>
          <w:i/>
        </w:rPr>
        <w:t xml:space="preserve">to </w:t>
      </w:r>
      <w:r w:rsidRPr="00FD4C4F">
        <w:rPr>
          <w:b/>
          <w:i/>
        </w:rPr>
        <w:t xml:space="preserve">achieve good performance of future designs utilizing resources reserved for forward compatibility, it should be possible to reserve resources in the control region as well as the data region. This is particularly important to minimize latency in self-contained </w:t>
      </w:r>
      <w:proofErr w:type="spellStart"/>
      <w:r w:rsidRPr="00FD4C4F">
        <w:rPr>
          <w:b/>
          <w:i/>
        </w:rPr>
        <w:t>subframes</w:t>
      </w:r>
      <w:proofErr w:type="spellEnd"/>
      <w:r w:rsidRPr="00FD4C4F">
        <w:rPr>
          <w:b/>
          <w:i/>
        </w:rPr>
        <w:t>.</w:t>
      </w:r>
    </w:p>
    <w:p w14:paraId="51AB5E45" w14:textId="77777777" w:rsidR="000D468B" w:rsidRPr="00FD4C4F" w:rsidRDefault="000D468B" w:rsidP="000D468B">
      <w:pPr>
        <w:rPr>
          <w:b/>
          <w:i/>
        </w:rPr>
      </w:pPr>
      <w:r w:rsidRPr="00FD4C4F">
        <w:rPr>
          <w:b/>
          <w:i/>
        </w:rPr>
        <w:t>Observation</w:t>
      </w:r>
      <w:r>
        <w:rPr>
          <w:b/>
          <w:i/>
        </w:rPr>
        <w:t xml:space="preserve"> 4</w:t>
      </w:r>
      <w:r w:rsidRPr="00FD4C4F">
        <w:rPr>
          <w:b/>
          <w:i/>
        </w:rPr>
        <w:t xml:space="preserve">: </w:t>
      </w:r>
      <w:r>
        <w:rPr>
          <w:b/>
          <w:i/>
        </w:rPr>
        <w:t>A variable/configurable size of</w:t>
      </w:r>
      <w:r w:rsidRPr="00FD4C4F">
        <w:rPr>
          <w:b/>
          <w:i/>
        </w:rPr>
        <w:t xml:space="preserve"> the Phase 1 control region </w:t>
      </w:r>
      <w:r>
        <w:rPr>
          <w:b/>
          <w:i/>
        </w:rPr>
        <w:t>is necessary</w:t>
      </w:r>
      <w:r w:rsidRPr="00FD4C4F">
        <w:rPr>
          <w:b/>
          <w:i/>
        </w:rPr>
        <w:t xml:space="preserve"> to allow allocation of resources for forward compatibility</w:t>
      </w:r>
      <w:r>
        <w:rPr>
          <w:b/>
          <w:i/>
        </w:rPr>
        <w:t xml:space="preserve"> in the </w:t>
      </w:r>
      <w:proofErr w:type="spellStart"/>
      <w:r>
        <w:rPr>
          <w:b/>
          <w:i/>
        </w:rPr>
        <w:t>subframe</w:t>
      </w:r>
      <w:proofErr w:type="spellEnd"/>
      <w:r>
        <w:rPr>
          <w:b/>
          <w:i/>
        </w:rPr>
        <w:t xml:space="preserve"> control regions</w:t>
      </w:r>
      <w:r w:rsidRPr="00FD4C4F">
        <w:rPr>
          <w:b/>
          <w:i/>
        </w:rPr>
        <w:t>.</w:t>
      </w:r>
    </w:p>
    <w:p w14:paraId="44DA2FFF" w14:textId="4430A676" w:rsidR="00FD4C4F" w:rsidRDefault="00FD4C4F" w:rsidP="00304B49">
      <w:r>
        <w:t>In view of these observations, the following is proposed:</w:t>
      </w:r>
    </w:p>
    <w:p w14:paraId="6966A0C1" w14:textId="77777777" w:rsidR="009B18A6" w:rsidRPr="002A3BF9" w:rsidRDefault="009B18A6" w:rsidP="009B18A6">
      <w:pPr>
        <w:rPr>
          <w:b/>
          <w:i/>
        </w:rPr>
      </w:pPr>
      <w:r w:rsidRPr="002A3BF9">
        <w:rPr>
          <w:b/>
          <w:i/>
        </w:rPr>
        <w:t xml:space="preserve">Proposal 1: Phase 1 control channel design should be designed to support, in a forward compatible way, data transmission using a Future Design. </w:t>
      </w:r>
    </w:p>
    <w:p w14:paraId="0F03529F" w14:textId="72D10ED6" w:rsidR="00CB77CA" w:rsidRPr="009B18A6" w:rsidRDefault="009B18A6" w:rsidP="001E36FD">
      <w:pPr>
        <w:rPr>
          <w:b/>
          <w:i/>
        </w:rPr>
      </w:pPr>
      <w:r w:rsidRPr="00FD4C4F">
        <w:rPr>
          <w:b/>
          <w:i/>
        </w:rPr>
        <w:t>Proposal</w:t>
      </w:r>
      <w:r>
        <w:rPr>
          <w:b/>
          <w:i/>
        </w:rPr>
        <w:t xml:space="preserve"> 2</w:t>
      </w:r>
      <w:r w:rsidRPr="00FD4C4F">
        <w:rPr>
          <w:b/>
          <w:i/>
        </w:rPr>
        <w:t xml:space="preserve">: </w:t>
      </w:r>
      <w:r w:rsidR="000E079D">
        <w:rPr>
          <w:b/>
          <w:i/>
        </w:rPr>
        <w:t>NR supports the allocation of</w:t>
      </w:r>
      <w:r w:rsidRPr="00FD4C4F">
        <w:rPr>
          <w:b/>
          <w:i/>
        </w:rPr>
        <w:t xml:space="preserve"> resources for forward compatibility in the control regions, including for self-contained </w:t>
      </w:r>
      <w:proofErr w:type="spellStart"/>
      <w:r w:rsidRPr="00FD4C4F">
        <w:rPr>
          <w:b/>
          <w:i/>
        </w:rPr>
        <w:t>subframes</w:t>
      </w:r>
      <w:proofErr w:type="spellEnd"/>
      <w:r w:rsidRPr="00FD4C4F">
        <w:rPr>
          <w:b/>
          <w:i/>
        </w:rPr>
        <w:t>. To that effect, the size of the control region for Phase 1 should be configurable.</w:t>
      </w:r>
    </w:p>
    <w:p w14:paraId="08C43EC8" w14:textId="77777777" w:rsidR="00214685" w:rsidRPr="009177A5" w:rsidRDefault="00214685" w:rsidP="002B09BC">
      <w:pPr>
        <w:pStyle w:val="Heading2"/>
      </w:pPr>
      <w:r w:rsidRPr="009177A5">
        <w:t>References</w:t>
      </w:r>
    </w:p>
    <w:p w14:paraId="2D3C6B2D" w14:textId="446661B7" w:rsidR="007E782B" w:rsidRDefault="00926D5F" w:rsidP="007E782B">
      <w:pPr>
        <w:pStyle w:val="EX"/>
        <w:numPr>
          <w:ilvl w:val="0"/>
          <w:numId w:val="2"/>
        </w:numPr>
        <w:tabs>
          <w:tab w:val="left" w:pos="426"/>
        </w:tabs>
        <w:ind w:hanging="720"/>
        <w:rPr>
          <w:lang w:eastAsia="zh-CN"/>
        </w:rPr>
      </w:pPr>
      <w:bookmarkStart w:id="19" w:name="_Ref450836942"/>
      <w:bookmarkStart w:id="20" w:name="_Ref444545979"/>
      <w:bookmarkStart w:id="21" w:name="_Ref446072562"/>
      <w:r w:rsidRPr="00926D5F">
        <w:rPr>
          <w:bCs/>
          <w:lang w:val="en-GB"/>
        </w:rPr>
        <w:t>Final Report of 3GPP TSG RAN WG1 #85 v1.0.0</w:t>
      </w:r>
      <w:r>
        <w:rPr>
          <w:bCs/>
          <w:lang w:val="en-GB"/>
        </w:rPr>
        <w:t xml:space="preserve">, </w:t>
      </w:r>
      <w:proofErr w:type="spellStart"/>
      <w:proofErr w:type="gramStart"/>
      <w:r>
        <w:t>Nanjing</w:t>
      </w:r>
      <w:r w:rsidRPr="000B1042">
        <w:t>,</w:t>
      </w:r>
      <w:r>
        <w:t>China</w:t>
      </w:r>
      <w:proofErr w:type="spellEnd"/>
      <w:proofErr w:type="gramEnd"/>
      <w:r w:rsidRPr="000B1042">
        <w:t xml:space="preserve">, </w:t>
      </w:r>
      <w:r>
        <w:t>23</w:t>
      </w:r>
      <w:r w:rsidRPr="00E748B8">
        <w:rPr>
          <w:vertAlign w:val="superscript"/>
        </w:rPr>
        <w:t>rd</w:t>
      </w:r>
      <w:r>
        <w:t xml:space="preserve"> </w:t>
      </w:r>
      <w:r w:rsidRPr="000B1042">
        <w:t xml:space="preserve">– </w:t>
      </w:r>
      <w:r>
        <w:t>27</w:t>
      </w:r>
      <w:r w:rsidRPr="000B1042">
        <w:rPr>
          <w:vertAlign w:val="superscript"/>
        </w:rPr>
        <w:t>th</w:t>
      </w:r>
      <w:r w:rsidRPr="000B1042">
        <w:t xml:space="preserve"> </w:t>
      </w:r>
      <w:r>
        <w:t>May</w:t>
      </w:r>
      <w:r w:rsidRPr="000B1042">
        <w:t xml:space="preserve"> 2016</w:t>
      </w:r>
      <w:r>
        <w:rPr>
          <w:bCs/>
          <w:lang w:val="en-GB"/>
        </w:rPr>
        <w:t>.</w:t>
      </w:r>
      <w:bookmarkEnd w:id="0"/>
      <w:bookmarkEnd w:id="1"/>
      <w:bookmarkEnd w:id="2"/>
      <w:bookmarkEnd w:id="3"/>
      <w:bookmarkEnd w:id="4"/>
      <w:bookmarkEnd w:id="5"/>
      <w:bookmarkEnd w:id="6"/>
      <w:bookmarkEnd w:id="7"/>
      <w:bookmarkEnd w:id="8"/>
      <w:bookmarkEnd w:id="9"/>
      <w:bookmarkEnd w:id="10"/>
      <w:bookmarkEnd w:id="11"/>
      <w:bookmarkEnd w:id="19"/>
      <w:bookmarkEnd w:id="20"/>
      <w:bookmarkEnd w:id="21"/>
    </w:p>
    <w:p w14:paraId="495A6EC8" w14:textId="7C233E06" w:rsidR="004F38FC" w:rsidRDefault="004F38FC" w:rsidP="00FD4C4F">
      <w:pPr>
        <w:pStyle w:val="EX"/>
        <w:tabs>
          <w:tab w:val="left" w:pos="426"/>
        </w:tabs>
        <w:ind w:left="0" w:firstLine="0"/>
      </w:pPr>
    </w:p>
    <w:sectPr w:rsidR="004F38FC" w:rsidSect="00877659">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84835" w14:textId="77777777" w:rsidR="0025011F" w:rsidRDefault="0025011F">
      <w:r>
        <w:separator/>
      </w:r>
    </w:p>
  </w:endnote>
  <w:endnote w:type="continuationSeparator" w:id="0">
    <w:p w14:paraId="44FDD3A5" w14:textId="77777777" w:rsidR="0025011F" w:rsidRDefault="0025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 w:name="MS Mincho">
    <w:panose1 w:val="02020609040205080304"/>
    <w:charset w:val="80"/>
    <w:family w:val="auto"/>
    <w:pitch w:val="variable"/>
    <w:sig w:usb0="E00002FF" w:usb1="6AC7FDFB" w:usb2="08000012" w:usb3="00000000" w:csb0="0002009F" w:csb1="00000000"/>
  </w:font>
  <w:font w:name="MS Gothic">
    <w:panose1 w:val="020B06090702050802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1B826" w14:textId="77777777" w:rsidR="00CB77CA" w:rsidRDefault="00CB77CA">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71CE6" w14:textId="77777777" w:rsidR="0025011F" w:rsidRDefault="0025011F">
      <w:r>
        <w:separator/>
      </w:r>
    </w:p>
  </w:footnote>
  <w:footnote w:type="continuationSeparator" w:id="0">
    <w:p w14:paraId="197FA5FE" w14:textId="77777777" w:rsidR="0025011F" w:rsidRDefault="0025011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B1DEC" w14:textId="2BCA4D1A" w:rsidR="00CB77CA" w:rsidRDefault="00CB77CA">
    <w:pPr>
      <w:pStyle w:val="Header"/>
      <w:framePr w:wrap="auto" w:vAnchor="text" w:hAnchor="margin" w:xAlign="center" w:y="1"/>
      <w:widowControl/>
    </w:pPr>
    <w:r>
      <w:fldChar w:fldCharType="begin"/>
    </w:r>
    <w:r>
      <w:instrText xml:space="preserve"> PAGE </w:instrText>
    </w:r>
    <w:r>
      <w:fldChar w:fldCharType="separate"/>
    </w:r>
    <w:r w:rsidR="00FD3FAA">
      <w:t>1</w:t>
    </w:r>
    <w:r>
      <w:fldChar w:fldCharType="end"/>
    </w:r>
  </w:p>
  <w:p w14:paraId="4F37C418" w14:textId="77777777" w:rsidR="00CB77CA" w:rsidRDefault="00CB77C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2F44FA"/>
    <w:multiLevelType w:val="hybridMultilevel"/>
    <w:tmpl w:val="C32CF51E"/>
    <w:lvl w:ilvl="0" w:tplc="20BC1A0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36587FB6"/>
    <w:multiLevelType w:val="hybridMultilevel"/>
    <w:tmpl w:val="0B08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C5611E"/>
    <w:multiLevelType w:val="hybridMultilevel"/>
    <w:tmpl w:val="4C941B00"/>
    <w:lvl w:ilvl="0" w:tplc="B41E8A48">
      <w:start w:val="1"/>
      <w:numFmt w:val="decimal"/>
      <w:pStyle w:val="Figures"/>
      <w:lvlText w:val="Figure %1."/>
      <w:lvlJc w:val="left"/>
      <w:pPr>
        <w:ind w:left="720" w:hanging="360"/>
      </w:pPr>
      <w:rPr>
        <w:rFonts w:ascii="Verdana" w:hAnsi="Verdana"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9D4C0A"/>
    <w:multiLevelType w:val="hybridMultilevel"/>
    <w:tmpl w:val="D4262F38"/>
    <w:lvl w:ilvl="0" w:tplc="4C782786">
      <w:start w:val="1"/>
      <w:numFmt w:val="decimal"/>
      <w:pStyle w:val="Tableheading"/>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5A3ED8"/>
    <w:multiLevelType w:val="hybridMultilevel"/>
    <w:tmpl w:val="3266E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C54110"/>
    <w:multiLevelType w:val="hybridMultilevel"/>
    <w:tmpl w:val="9448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E07047D"/>
    <w:multiLevelType w:val="hybridMultilevel"/>
    <w:tmpl w:val="9C76CCE2"/>
    <w:lvl w:ilvl="0" w:tplc="5082E4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556C98"/>
    <w:multiLevelType w:val="hybridMultilevel"/>
    <w:tmpl w:val="C9CC1E6E"/>
    <w:lvl w:ilvl="0" w:tplc="B9C65CA0">
      <w:start w:val="1"/>
      <w:numFmt w:val="bullet"/>
      <w:lvlText w:val="•"/>
      <w:lvlJc w:val="left"/>
      <w:pPr>
        <w:tabs>
          <w:tab w:val="num" w:pos="720"/>
        </w:tabs>
        <w:ind w:left="720" w:hanging="360"/>
      </w:pPr>
      <w:rPr>
        <w:rFonts w:ascii="Arial" w:hAnsi="Arial" w:hint="default"/>
      </w:rPr>
    </w:lvl>
    <w:lvl w:ilvl="1" w:tplc="C2C69BA8">
      <w:numFmt w:val="bullet"/>
      <w:lvlText w:val="–"/>
      <w:lvlJc w:val="left"/>
      <w:pPr>
        <w:tabs>
          <w:tab w:val="num" w:pos="1440"/>
        </w:tabs>
        <w:ind w:left="1440" w:hanging="360"/>
      </w:pPr>
      <w:rPr>
        <w:rFonts w:ascii="Arial" w:hAnsi="Arial" w:hint="default"/>
      </w:rPr>
    </w:lvl>
    <w:lvl w:ilvl="2" w:tplc="FE8261E0" w:tentative="1">
      <w:start w:val="1"/>
      <w:numFmt w:val="bullet"/>
      <w:lvlText w:val="•"/>
      <w:lvlJc w:val="left"/>
      <w:pPr>
        <w:tabs>
          <w:tab w:val="num" w:pos="2160"/>
        </w:tabs>
        <w:ind w:left="2160" w:hanging="360"/>
      </w:pPr>
      <w:rPr>
        <w:rFonts w:ascii="Arial" w:hAnsi="Arial" w:hint="default"/>
      </w:rPr>
    </w:lvl>
    <w:lvl w:ilvl="3" w:tplc="2BAA6A48" w:tentative="1">
      <w:start w:val="1"/>
      <w:numFmt w:val="bullet"/>
      <w:lvlText w:val="•"/>
      <w:lvlJc w:val="left"/>
      <w:pPr>
        <w:tabs>
          <w:tab w:val="num" w:pos="2880"/>
        </w:tabs>
        <w:ind w:left="2880" w:hanging="360"/>
      </w:pPr>
      <w:rPr>
        <w:rFonts w:ascii="Arial" w:hAnsi="Arial" w:hint="default"/>
      </w:rPr>
    </w:lvl>
    <w:lvl w:ilvl="4" w:tplc="B4629F5E" w:tentative="1">
      <w:start w:val="1"/>
      <w:numFmt w:val="bullet"/>
      <w:lvlText w:val="•"/>
      <w:lvlJc w:val="left"/>
      <w:pPr>
        <w:tabs>
          <w:tab w:val="num" w:pos="3600"/>
        </w:tabs>
        <w:ind w:left="3600" w:hanging="360"/>
      </w:pPr>
      <w:rPr>
        <w:rFonts w:ascii="Arial" w:hAnsi="Arial" w:hint="default"/>
      </w:rPr>
    </w:lvl>
    <w:lvl w:ilvl="5" w:tplc="44F006FE" w:tentative="1">
      <w:start w:val="1"/>
      <w:numFmt w:val="bullet"/>
      <w:lvlText w:val="•"/>
      <w:lvlJc w:val="left"/>
      <w:pPr>
        <w:tabs>
          <w:tab w:val="num" w:pos="4320"/>
        </w:tabs>
        <w:ind w:left="4320" w:hanging="360"/>
      </w:pPr>
      <w:rPr>
        <w:rFonts w:ascii="Arial" w:hAnsi="Arial" w:hint="default"/>
      </w:rPr>
    </w:lvl>
    <w:lvl w:ilvl="6" w:tplc="98CC7470" w:tentative="1">
      <w:start w:val="1"/>
      <w:numFmt w:val="bullet"/>
      <w:lvlText w:val="•"/>
      <w:lvlJc w:val="left"/>
      <w:pPr>
        <w:tabs>
          <w:tab w:val="num" w:pos="5040"/>
        </w:tabs>
        <w:ind w:left="5040" w:hanging="360"/>
      </w:pPr>
      <w:rPr>
        <w:rFonts w:ascii="Arial" w:hAnsi="Arial" w:hint="default"/>
      </w:rPr>
    </w:lvl>
    <w:lvl w:ilvl="7" w:tplc="6874898A" w:tentative="1">
      <w:start w:val="1"/>
      <w:numFmt w:val="bullet"/>
      <w:lvlText w:val="•"/>
      <w:lvlJc w:val="left"/>
      <w:pPr>
        <w:tabs>
          <w:tab w:val="num" w:pos="5760"/>
        </w:tabs>
        <w:ind w:left="5760" w:hanging="360"/>
      </w:pPr>
      <w:rPr>
        <w:rFonts w:ascii="Arial" w:hAnsi="Arial" w:hint="default"/>
      </w:rPr>
    </w:lvl>
    <w:lvl w:ilvl="8" w:tplc="07DE3F1E" w:tentative="1">
      <w:start w:val="1"/>
      <w:numFmt w:val="bullet"/>
      <w:lvlText w:val="•"/>
      <w:lvlJc w:val="left"/>
      <w:pPr>
        <w:tabs>
          <w:tab w:val="num" w:pos="6480"/>
        </w:tabs>
        <w:ind w:left="6480" w:hanging="360"/>
      </w:pPr>
      <w:rPr>
        <w:rFonts w:ascii="Arial" w:hAnsi="Arial" w:hint="default"/>
      </w:rPr>
    </w:lvl>
  </w:abstractNum>
  <w:abstractNum w:abstractNumId="8">
    <w:nsid w:val="6B057A1A"/>
    <w:multiLevelType w:val="hybridMultilevel"/>
    <w:tmpl w:val="095C7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565207"/>
    <w:multiLevelType w:val="hybridMultilevel"/>
    <w:tmpl w:val="FEA0FF18"/>
    <w:lvl w:ilvl="0" w:tplc="D7709F2E">
      <w:start w:val="1"/>
      <w:numFmt w:val="decimal"/>
      <w:pStyle w:val="Heading2"/>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7D242CCE"/>
    <w:multiLevelType w:val="hybridMultilevel"/>
    <w:tmpl w:val="429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9"/>
  </w:num>
  <w:num w:numId="4">
    <w:abstractNumId w:val="3"/>
  </w:num>
  <w:num w:numId="5">
    <w:abstractNumId w:val="2"/>
  </w:num>
  <w:num w:numId="6">
    <w:abstractNumId w:val="6"/>
  </w:num>
  <w:num w:numId="7">
    <w:abstractNumId w:val="1"/>
  </w:num>
  <w:num w:numId="8">
    <w:abstractNumId w:val="11"/>
  </w:num>
  <w:num w:numId="9">
    <w:abstractNumId w:val="5"/>
  </w:num>
  <w:num w:numId="10">
    <w:abstractNumId w:val="7"/>
  </w:num>
  <w:num w:numId="11">
    <w:abstractNumId w:val="8"/>
  </w:num>
  <w:num w:numId="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pt-BR"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7306"/>
    <w:rsid w:val="000120D2"/>
    <w:rsid w:val="00012ACD"/>
    <w:rsid w:val="00016B08"/>
    <w:rsid w:val="00025D15"/>
    <w:rsid w:val="00026227"/>
    <w:rsid w:val="00031E5F"/>
    <w:rsid w:val="00033EA2"/>
    <w:rsid w:val="00035CBA"/>
    <w:rsid w:val="00036DD6"/>
    <w:rsid w:val="00037E6A"/>
    <w:rsid w:val="00037FE8"/>
    <w:rsid w:val="00041B82"/>
    <w:rsid w:val="00041E2E"/>
    <w:rsid w:val="000441FC"/>
    <w:rsid w:val="0004681E"/>
    <w:rsid w:val="00047097"/>
    <w:rsid w:val="00054506"/>
    <w:rsid w:val="00056CE7"/>
    <w:rsid w:val="000610A8"/>
    <w:rsid w:val="00062A4B"/>
    <w:rsid w:val="000640A9"/>
    <w:rsid w:val="00064C08"/>
    <w:rsid w:val="0006629F"/>
    <w:rsid w:val="0007002B"/>
    <w:rsid w:val="00070DFE"/>
    <w:rsid w:val="000759B7"/>
    <w:rsid w:val="00075CBE"/>
    <w:rsid w:val="00077D83"/>
    <w:rsid w:val="00085CD2"/>
    <w:rsid w:val="00085D6F"/>
    <w:rsid w:val="0008657A"/>
    <w:rsid w:val="00087E27"/>
    <w:rsid w:val="00096FE3"/>
    <w:rsid w:val="000A4047"/>
    <w:rsid w:val="000A6AEA"/>
    <w:rsid w:val="000A78B4"/>
    <w:rsid w:val="000B1ACD"/>
    <w:rsid w:val="000B4169"/>
    <w:rsid w:val="000C15B6"/>
    <w:rsid w:val="000C1E26"/>
    <w:rsid w:val="000C427A"/>
    <w:rsid w:val="000C51A5"/>
    <w:rsid w:val="000C6222"/>
    <w:rsid w:val="000C7286"/>
    <w:rsid w:val="000C7BCE"/>
    <w:rsid w:val="000C7F5F"/>
    <w:rsid w:val="000D0D94"/>
    <w:rsid w:val="000D468B"/>
    <w:rsid w:val="000D5401"/>
    <w:rsid w:val="000E079D"/>
    <w:rsid w:val="000E12A0"/>
    <w:rsid w:val="000E3369"/>
    <w:rsid w:val="000E75FA"/>
    <w:rsid w:val="000E7CA9"/>
    <w:rsid w:val="000F43C6"/>
    <w:rsid w:val="000F48DD"/>
    <w:rsid w:val="000F54E9"/>
    <w:rsid w:val="0010284F"/>
    <w:rsid w:val="001044FE"/>
    <w:rsid w:val="00105B5C"/>
    <w:rsid w:val="001106F5"/>
    <w:rsid w:val="00114CB5"/>
    <w:rsid w:val="00116F7E"/>
    <w:rsid w:val="00117922"/>
    <w:rsid w:val="00120975"/>
    <w:rsid w:val="00137D1E"/>
    <w:rsid w:val="00141650"/>
    <w:rsid w:val="00142C2C"/>
    <w:rsid w:val="0014510B"/>
    <w:rsid w:val="0014752B"/>
    <w:rsid w:val="00151B79"/>
    <w:rsid w:val="001542B2"/>
    <w:rsid w:val="0015672D"/>
    <w:rsid w:val="001601B8"/>
    <w:rsid w:val="00165336"/>
    <w:rsid w:val="001674FD"/>
    <w:rsid w:val="0017049B"/>
    <w:rsid w:val="0017135D"/>
    <w:rsid w:val="00174FC1"/>
    <w:rsid w:val="00176CA7"/>
    <w:rsid w:val="00177C1B"/>
    <w:rsid w:val="0018079D"/>
    <w:rsid w:val="00181795"/>
    <w:rsid w:val="001821F3"/>
    <w:rsid w:val="001829B7"/>
    <w:rsid w:val="00182D38"/>
    <w:rsid w:val="00183712"/>
    <w:rsid w:val="00183D17"/>
    <w:rsid w:val="001842B1"/>
    <w:rsid w:val="00185169"/>
    <w:rsid w:val="0018639A"/>
    <w:rsid w:val="00187D9B"/>
    <w:rsid w:val="0019217D"/>
    <w:rsid w:val="00192CAC"/>
    <w:rsid w:val="001A111F"/>
    <w:rsid w:val="001A29D8"/>
    <w:rsid w:val="001A2F35"/>
    <w:rsid w:val="001A30E5"/>
    <w:rsid w:val="001A6A64"/>
    <w:rsid w:val="001B14AF"/>
    <w:rsid w:val="001B3094"/>
    <w:rsid w:val="001B439D"/>
    <w:rsid w:val="001B4858"/>
    <w:rsid w:val="001C10D1"/>
    <w:rsid w:val="001D13AA"/>
    <w:rsid w:val="001D174E"/>
    <w:rsid w:val="001D1BF9"/>
    <w:rsid w:val="001D1FC8"/>
    <w:rsid w:val="001D2AC5"/>
    <w:rsid w:val="001D3BC5"/>
    <w:rsid w:val="001E36FD"/>
    <w:rsid w:val="001E5475"/>
    <w:rsid w:val="001F1A82"/>
    <w:rsid w:val="001F400F"/>
    <w:rsid w:val="001F70FF"/>
    <w:rsid w:val="001F7121"/>
    <w:rsid w:val="002030EA"/>
    <w:rsid w:val="00205F6D"/>
    <w:rsid w:val="00206533"/>
    <w:rsid w:val="002070D6"/>
    <w:rsid w:val="00207444"/>
    <w:rsid w:val="00207A28"/>
    <w:rsid w:val="00207CBF"/>
    <w:rsid w:val="00210495"/>
    <w:rsid w:val="00210B15"/>
    <w:rsid w:val="00211C68"/>
    <w:rsid w:val="00214276"/>
    <w:rsid w:val="00214685"/>
    <w:rsid w:val="00215AC9"/>
    <w:rsid w:val="00223C3D"/>
    <w:rsid w:val="00223CDA"/>
    <w:rsid w:val="00226D31"/>
    <w:rsid w:val="002331AA"/>
    <w:rsid w:val="00241CA1"/>
    <w:rsid w:val="002422F4"/>
    <w:rsid w:val="00242397"/>
    <w:rsid w:val="00244F5B"/>
    <w:rsid w:val="0025011F"/>
    <w:rsid w:val="00254724"/>
    <w:rsid w:val="00255E04"/>
    <w:rsid w:val="00256821"/>
    <w:rsid w:val="00256EDA"/>
    <w:rsid w:val="00262102"/>
    <w:rsid w:val="002642C0"/>
    <w:rsid w:val="002707ED"/>
    <w:rsid w:val="00271EBC"/>
    <w:rsid w:val="0027417F"/>
    <w:rsid w:val="002747EA"/>
    <w:rsid w:val="002774B7"/>
    <w:rsid w:val="00280996"/>
    <w:rsid w:val="00281FB1"/>
    <w:rsid w:val="002842B7"/>
    <w:rsid w:val="00285256"/>
    <w:rsid w:val="00285522"/>
    <w:rsid w:val="002856AF"/>
    <w:rsid w:val="00287047"/>
    <w:rsid w:val="0028726E"/>
    <w:rsid w:val="00295C0C"/>
    <w:rsid w:val="002972F0"/>
    <w:rsid w:val="0029776F"/>
    <w:rsid w:val="002A3B44"/>
    <w:rsid w:val="002A3BF9"/>
    <w:rsid w:val="002A3F15"/>
    <w:rsid w:val="002A4F86"/>
    <w:rsid w:val="002A5DDB"/>
    <w:rsid w:val="002A7625"/>
    <w:rsid w:val="002B09A1"/>
    <w:rsid w:val="002B09BC"/>
    <w:rsid w:val="002B6883"/>
    <w:rsid w:val="002B75CC"/>
    <w:rsid w:val="002C338A"/>
    <w:rsid w:val="002C57EA"/>
    <w:rsid w:val="002D17A8"/>
    <w:rsid w:val="002D45D6"/>
    <w:rsid w:val="002D5645"/>
    <w:rsid w:val="002D5C59"/>
    <w:rsid w:val="002E5369"/>
    <w:rsid w:val="002E5544"/>
    <w:rsid w:val="002E6A0C"/>
    <w:rsid w:val="002E7537"/>
    <w:rsid w:val="002E7620"/>
    <w:rsid w:val="002E76BE"/>
    <w:rsid w:val="002F1FE8"/>
    <w:rsid w:val="0030028C"/>
    <w:rsid w:val="00303BCA"/>
    <w:rsid w:val="00304B49"/>
    <w:rsid w:val="00306CEB"/>
    <w:rsid w:val="00307551"/>
    <w:rsid w:val="00307ED9"/>
    <w:rsid w:val="00311202"/>
    <w:rsid w:val="00317A4B"/>
    <w:rsid w:val="003201AA"/>
    <w:rsid w:val="003202E6"/>
    <w:rsid w:val="003208E0"/>
    <w:rsid w:val="00322EE4"/>
    <w:rsid w:val="00326412"/>
    <w:rsid w:val="00326613"/>
    <w:rsid w:val="00331785"/>
    <w:rsid w:val="00332CBD"/>
    <w:rsid w:val="00333AC6"/>
    <w:rsid w:val="003357C6"/>
    <w:rsid w:val="00337E11"/>
    <w:rsid w:val="003422B1"/>
    <w:rsid w:val="00344CB3"/>
    <w:rsid w:val="00344E8F"/>
    <w:rsid w:val="00347CA7"/>
    <w:rsid w:val="0035254E"/>
    <w:rsid w:val="0035469B"/>
    <w:rsid w:val="00356EEB"/>
    <w:rsid w:val="00360393"/>
    <w:rsid w:val="0036137F"/>
    <w:rsid w:val="00367E8C"/>
    <w:rsid w:val="00371810"/>
    <w:rsid w:val="00375FFD"/>
    <w:rsid w:val="00377BBF"/>
    <w:rsid w:val="003808B7"/>
    <w:rsid w:val="00381AC0"/>
    <w:rsid w:val="00383B29"/>
    <w:rsid w:val="003860CC"/>
    <w:rsid w:val="00386A70"/>
    <w:rsid w:val="00387AF1"/>
    <w:rsid w:val="0039049B"/>
    <w:rsid w:val="00390BA1"/>
    <w:rsid w:val="00390E18"/>
    <w:rsid w:val="003923AE"/>
    <w:rsid w:val="00393AE9"/>
    <w:rsid w:val="003943B9"/>
    <w:rsid w:val="003946EA"/>
    <w:rsid w:val="003A07F3"/>
    <w:rsid w:val="003A14FA"/>
    <w:rsid w:val="003A16E8"/>
    <w:rsid w:val="003A2437"/>
    <w:rsid w:val="003A3238"/>
    <w:rsid w:val="003A4C50"/>
    <w:rsid w:val="003B0B29"/>
    <w:rsid w:val="003B2D81"/>
    <w:rsid w:val="003B4A80"/>
    <w:rsid w:val="003B76CE"/>
    <w:rsid w:val="003B7B78"/>
    <w:rsid w:val="003C1642"/>
    <w:rsid w:val="003C2782"/>
    <w:rsid w:val="003C5C42"/>
    <w:rsid w:val="003D7E75"/>
    <w:rsid w:val="003E0651"/>
    <w:rsid w:val="003E5543"/>
    <w:rsid w:val="003E635E"/>
    <w:rsid w:val="003E6D26"/>
    <w:rsid w:val="003F27E4"/>
    <w:rsid w:val="003F2A22"/>
    <w:rsid w:val="003F37DF"/>
    <w:rsid w:val="003F3D59"/>
    <w:rsid w:val="003F49ED"/>
    <w:rsid w:val="003F4F61"/>
    <w:rsid w:val="00403F5D"/>
    <w:rsid w:val="00415A63"/>
    <w:rsid w:val="004204EF"/>
    <w:rsid w:val="00420B96"/>
    <w:rsid w:val="00421371"/>
    <w:rsid w:val="00422467"/>
    <w:rsid w:val="00426E24"/>
    <w:rsid w:val="0043080C"/>
    <w:rsid w:val="00434973"/>
    <w:rsid w:val="00441DE2"/>
    <w:rsid w:val="004420ED"/>
    <w:rsid w:val="00442658"/>
    <w:rsid w:val="0044312B"/>
    <w:rsid w:val="00445199"/>
    <w:rsid w:val="004515D2"/>
    <w:rsid w:val="00452167"/>
    <w:rsid w:val="00452FB1"/>
    <w:rsid w:val="00454274"/>
    <w:rsid w:val="004543D9"/>
    <w:rsid w:val="004553EB"/>
    <w:rsid w:val="004553F9"/>
    <w:rsid w:val="0045615A"/>
    <w:rsid w:val="0046086A"/>
    <w:rsid w:val="00463267"/>
    <w:rsid w:val="00464ED6"/>
    <w:rsid w:val="004679DD"/>
    <w:rsid w:val="004700B4"/>
    <w:rsid w:val="00474377"/>
    <w:rsid w:val="00481689"/>
    <w:rsid w:val="00484729"/>
    <w:rsid w:val="00487DCB"/>
    <w:rsid w:val="00491AC6"/>
    <w:rsid w:val="00492FD5"/>
    <w:rsid w:val="004952F7"/>
    <w:rsid w:val="00497E33"/>
    <w:rsid w:val="004A4BB3"/>
    <w:rsid w:val="004A506F"/>
    <w:rsid w:val="004A74F1"/>
    <w:rsid w:val="004A754A"/>
    <w:rsid w:val="004A7B12"/>
    <w:rsid w:val="004B0925"/>
    <w:rsid w:val="004B572E"/>
    <w:rsid w:val="004B7FF8"/>
    <w:rsid w:val="004C037D"/>
    <w:rsid w:val="004C76D9"/>
    <w:rsid w:val="004D23DA"/>
    <w:rsid w:val="004D3CEC"/>
    <w:rsid w:val="004D4001"/>
    <w:rsid w:val="004D731D"/>
    <w:rsid w:val="004E716B"/>
    <w:rsid w:val="004F1DCA"/>
    <w:rsid w:val="004F350C"/>
    <w:rsid w:val="004F38FC"/>
    <w:rsid w:val="004F5848"/>
    <w:rsid w:val="00501087"/>
    <w:rsid w:val="0050457A"/>
    <w:rsid w:val="00504D2F"/>
    <w:rsid w:val="00510FAB"/>
    <w:rsid w:val="0051398B"/>
    <w:rsid w:val="005147B9"/>
    <w:rsid w:val="005151FD"/>
    <w:rsid w:val="005212C7"/>
    <w:rsid w:val="00522112"/>
    <w:rsid w:val="005238FD"/>
    <w:rsid w:val="0052473A"/>
    <w:rsid w:val="005279E9"/>
    <w:rsid w:val="00537240"/>
    <w:rsid w:val="005403D2"/>
    <w:rsid w:val="005434B3"/>
    <w:rsid w:val="0054560C"/>
    <w:rsid w:val="00551FC0"/>
    <w:rsid w:val="00553DBD"/>
    <w:rsid w:val="00555FB1"/>
    <w:rsid w:val="00556ED2"/>
    <w:rsid w:val="00557401"/>
    <w:rsid w:val="00565180"/>
    <w:rsid w:val="005660E4"/>
    <w:rsid w:val="00566F2F"/>
    <w:rsid w:val="00567802"/>
    <w:rsid w:val="00570DD0"/>
    <w:rsid w:val="005746A3"/>
    <w:rsid w:val="00574AB3"/>
    <w:rsid w:val="00577339"/>
    <w:rsid w:val="00580F5C"/>
    <w:rsid w:val="00582721"/>
    <w:rsid w:val="00584B66"/>
    <w:rsid w:val="00586217"/>
    <w:rsid w:val="005905B7"/>
    <w:rsid w:val="00591EB5"/>
    <w:rsid w:val="0059205F"/>
    <w:rsid w:val="00593F90"/>
    <w:rsid w:val="005964B9"/>
    <w:rsid w:val="005A15A1"/>
    <w:rsid w:val="005A4A5B"/>
    <w:rsid w:val="005A59E3"/>
    <w:rsid w:val="005B105E"/>
    <w:rsid w:val="005B39F5"/>
    <w:rsid w:val="005C4917"/>
    <w:rsid w:val="005D40F5"/>
    <w:rsid w:val="005E1D1A"/>
    <w:rsid w:val="005E2493"/>
    <w:rsid w:val="005E2BA4"/>
    <w:rsid w:val="005E3B9A"/>
    <w:rsid w:val="005E5ADB"/>
    <w:rsid w:val="005F1CC8"/>
    <w:rsid w:val="005F2A07"/>
    <w:rsid w:val="005F3BD8"/>
    <w:rsid w:val="005F3E2D"/>
    <w:rsid w:val="005F44C8"/>
    <w:rsid w:val="00600FFC"/>
    <w:rsid w:val="00601BC3"/>
    <w:rsid w:val="006036A3"/>
    <w:rsid w:val="0060442A"/>
    <w:rsid w:val="00606809"/>
    <w:rsid w:val="006129B9"/>
    <w:rsid w:val="0061365E"/>
    <w:rsid w:val="00617FF4"/>
    <w:rsid w:val="00620AA9"/>
    <w:rsid w:val="0062130A"/>
    <w:rsid w:val="0062254D"/>
    <w:rsid w:val="00630375"/>
    <w:rsid w:val="0063272B"/>
    <w:rsid w:val="0064030C"/>
    <w:rsid w:val="0064114F"/>
    <w:rsid w:val="006411E3"/>
    <w:rsid w:val="00647BD1"/>
    <w:rsid w:val="006512BE"/>
    <w:rsid w:val="00651437"/>
    <w:rsid w:val="00652AB8"/>
    <w:rsid w:val="006548E8"/>
    <w:rsid w:val="00654C4C"/>
    <w:rsid w:val="006651FB"/>
    <w:rsid w:val="006652E5"/>
    <w:rsid w:val="00665AD8"/>
    <w:rsid w:val="00666A05"/>
    <w:rsid w:val="00670DFF"/>
    <w:rsid w:val="00673902"/>
    <w:rsid w:val="006775CE"/>
    <w:rsid w:val="00686B28"/>
    <w:rsid w:val="00686DFD"/>
    <w:rsid w:val="00687489"/>
    <w:rsid w:val="0069088B"/>
    <w:rsid w:val="0069149D"/>
    <w:rsid w:val="00692FA4"/>
    <w:rsid w:val="00693605"/>
    <w:rsid w:val="00694AC9"/>
    <w:rsid w:val="006A1A1F"/>
    <w:rsid w:val="006A4062"/>
    <w:rsid w:val="006A7BA9"/>
    <w:rsid w:val="006A7C0A"/>
    <w:rsid w:val="006C2491"/>
    <w:rsid w:val="006C29B0"/>
    <w:rsid w:val="006C4F43"/>
    <w:rsid w:val="006C61D3"/>
    <w:rsid w:val="006C658F"/>
    <w:rsid w:val="006C719E"/>
    <w:rsid w:val="006D01A2"/>
    <w:rsid w:val="006D0716"/>
    <w:rsid w:val="006D0BE7"/>
    <w:rsid w:val="006D3937"/>
    <w:rsid w:val="006D422D"/>
    <w:rsid w:val="006D4F4A"/>
    <w:rsid w:val="006D674C"/>
    <w:rsid w:val="006E1859"/>
    <w:rsid w:val="006E1F9E"/>
    <w:rsid w:val="006E5C5F"/>
    <w:rsid w:val="006E5D78"/>
    <w:rsid w:val="006F0D00"/>
    <w:rsid w:val="006F5239"/>
    <w:rsid w:val="006F56DB"/>
    <w:rsid w:val="006F6318"/>
    <w:rsid w:val="006F66FE"/>
    <w:rsid w:val="006F6FBA"/>
    <w:rsid w:val="00701C5E"/>
    <w:rsid w:val="00705661"/>
    <w:rsid w:val="00710D20"/>
    <w:rsid w:val="0071165F"/>
    <w:rsid w:val="00715627"/>
    <w:rsid w:val="00717F51"/>
    <w:rsid w:val="00723EAC"/>
    <w:rsid w:val="007321B2"/>
    <w:rsid w:val="00732CF5"/>
    <w:rsid w:val="00737900"/>
    <w:rsid w:val="0074102C"/>
    <w:rsid w:val="00741917"/>
    <w:rsid w:val="00742DD4"/>
    <w:rsid w:val="007458A8"/>
    <w:rsid w:val="00751D52"/>
    <w:rsid w:val="00751E95"/>
    <w:rsid w:val="007553F2"/>
    <w:rsid w:val="0076136C"/>
    <w:rsid w:val="00763237"/>
    <w:rsid w:val="00772666"/>
    <w:rsid w:val="0077514C"/>
    <w:rsid w:val="00780650"/>
    <w:rsid w:val="00782CFD"/>
    <w:rsid w:val="00785C59"/>
    <w:rsid w:val="0078711D"/>
    <w:rsid w:val="007874DA"/>
    <w:rsid w:val="007A14AA"/>
    <w:rsid w:val="007B2B03"/>
    <w:rsid w:val="007B30E4"/>
    <w:rsid w:val="007B5472"/>
    <w:rsid w:val="007B5D8D"/>
    <w:rsid w:val="007B6E50"/>
    <w:rsid w:val="007B7612"/>
    <w:rsid w:val="007C185A"/>
    <w:rsid w:val="007C1BAE"/>
    <w:rsid w:val="007C2142"/>
    <w:rsid w:val="007C2794"/>
    <w:rsid w:val="007C47F9"/>
    <w:rsid w:val="007C55C0"/>
    <w:rsid w:val="007D1BCB"/>
    <w:rsid w:val="007D4168"/>
    <w:rsid w:val="007E3052"/>
    <w:rsid w:val="007E3323"/>
    <w:rsid w:val="007E782B"/>
    <w:rsid w:val="007F0413"/>
    <w:rsid w:val="007F1822"/>
    <w:rsid w:val="007F3642"/>
    <w:rsid w:val="007F4BC8"/>
    <w:rsid w:val="007F52A8"/>
    <w:rsid w:val="00800418"/>
    <w:rsid w:val="00800946"/>
    <w:rsid w:val="00801774"/>
    <w:rsid w:val="00804111"/>
    <w:rsid w:val="00813351"/>
    <w:rsid w:val="00813E77"/>
    <w:rsid w:val="0082208E"/>
    <w:rsid w:val="00822284"/>
    <w:rsid w:val="0082312F"/>
    <w:rsid w:val="00831636"/>
    <w:rsid w:val="0083584F"/>
    <w:rsid w:val="00836992"/>
    <w:rsid w:val="00836E91"/>
    <w:rsid w:val="008372A0"/>
    <w:rsid w:val="00840976"/>
    <w:rsid w:val="008411A4"/>
    <w:rsid w:val="00844C88"/>
    <w:rsid w:val="008455E8"/>
    <w:rsid w:val="00863604"/>
    <w:rsid w:val="00875A50"/>
    <w:rsid w:val="008769A0"/>
    <w:rsid w:val="00877659"/>
    <w:rsid w:val="00880820"/>
    <w:rsid w:val="00884D2B"/>
    <w:rsid w:val="0088574F"/>
    <w:rsid w:val="008861B9"/>
    <w:rsid w:val="00887E86"/>
    <w:rsid w:val="00893669"/>
    <w:rsid w:val="00894983"/>
    <w:rsid w:val="00897E62"/>
    <w:rsid w:val="008A04BD"/>
    <w:rsid w:val="008A084B"/>
    <w:rsid w:val="008A08A6"/>
    <w:rsid w:val="008A0A4F"/>
    <w:rsid w:val="008A1910"/>
    <w:rsid w:val="008A2639"/>
    <w:rsid w:val="008A335E"/>
    <w:rsid w:val="008A5D4B"/>
    <w:rsid w:val="008A5E6F"/>
    <w:rsid w:val="008A75DC"/>
    <w:rsid w:val="008B0BD9"/>
    <w:rsid w:val="008B1EC1"/>
    <w:rsid w:val="008B2A4B"/>
    <w:rsid w:val="008B2D28"/>
    <w:rsid w:val="008B329E"/>
    <w:rsid w:val="008B34F0"/>
    <w:rsid w:val="008B4AB1"/>
    <w:rsid w:val="008B5659"/>
    <w:rsid w:val="008B64EC"/>
    <w:rsid w:val="008B6CF4"/>
    <w:rsid w:val="008C5E7F"/>
    <w:rsid w:val="008C63E9"/>
    <w:rsid w:val="008C6B3E"/>
    <w:rsid w:val="008C6BD9"/>
    <w:rsid w:val="008D1B4F"/>
    <w:rsid w:val="008D74D8"/>
    <w:rsid w:val="008E32FB"/>
    <w:rsid w:val="008E357E"/>
    <w:rsid w:val="008E6C85"/>
    <w:rsid w:val="008E710D"/>
    <w:rsid w:val="008F045D"/>
    <w:rsid w:val="008F2ADC"/>
    <w:rsid w:val="008F683B"/>
    <w:rsid w:val="0090281B"/>
    <w:rsid w:val="009029CF"/>
    <w:rsid w:val="00902D90"/>
    <w:rsid w:val="00903171"/>
    <w:rsid w:val="00905E83"/>
    <w:rsid w:val="00910C30"/>
    <w:rsid w:val="0091260F"/>
    <w:rsid w:val="00913DF5"/>
    <w:rsid w:val="009163EA"/>
    <w:rsid w:val="0091668E"/>
    <w:rsid w:val="00916D61"/>
    <w:rsid w:val="00921133"/>
    <w:rsid w:val="0092222C"/>
    <w:rsid w:val="00922CAE"/>
    <w:rsid w:val="00925065"/>
    <w:rsid w:val="00925FB3"/>
    <w:rsid w:val="00926D5F"/>
    <w:rsid w:val="009307BC"/>
    <w:rsid w:val="00930FB8"/>
    <w:rsid w:val="00931400"/>
    <w:rsid w:val="0093287F"/>
    <w:rsid w:val="0093317F"/>
    <w:rsid w:val="0093357A"/>
    <w:rsid w:val="0093551B"/>
    <w:rsid w:val="00935FCE"/>
    <w:rsid w:val="0094041E"/>
    <w:rsid w:val="009418F4"/>
    <w:rsid w:val="00942D92"/>
    <w:rsid w:val="00943D5E"/>
    <w:rsid w:val="0094585E"/>
    <w:rsid w:val="009475B7"/>
    <w:rsid w:val="00950336"/>
    <w:rsid w:val="00951447"/>
    <w:rsid w:val="00952640"/>
    <w:rsid w:val="00956578"/>
    <w:rsid w:val="00956EBC"/>
    <w:rsid w:val="00960365"/>
    <w:rsid w:val="009655EE"/>
    <w:rsid w:val="00965AE2"/>
    <w:rsid w:val="00965B66"/>
    <w:rsid w:val="00967C73"/>
    <w:rsid w:val="00971AFE"/>
    <w:rsid w:val="00976D17"/>
    <w:rsid w:val="00977410"/>
    <w:rsid w:val="0098104C"/>
    <w:rsid w:val="00983CA1"/>
    <w:rsid w:val="00987949"/>
    <w:rsid w:val="0099017F"/>
    <w:rsid w:val="00991DD0"/>
    <w:rsid w:val="009932F1"/>
    <w:rsid w:val="00994776"/>
    <w:rsid w:val="00997E39"/>
    <w:rsid w:val="009A21ED"/>
    <w:rsid w:val="009A3124"/>
    <w:rsid w:val="009A5F3D"/>
    <w:rsid w:val="009B0C00"/>
    <w:rsid w:val="009B18A6"/>
    <w:rsid w:val="009B1CF4"/>
    <w:rsid w:val="009B3EFA"/>
    <w:rsid w:val="009B41C8"/>
    <w:rsid w:val="009C1D46"/>
    <w:rsid w:val="009C4802"/>
    <w:rsid w:val="009C4B80"/>
    <w:rsid w:val="009C53CF"/>
    <w:rsid w:val="009C5E2E"/>
    <w:rsid w:val="009D06B1"/>
    <w:rsid w:val="009D19E1"/>
    <w:rsid w:val="009D55A3"/>
    <w:rsid w:val="009D7853"/>
    <w:rsid w:val="009E10B4"/>
    <w:rsid w:val="009E21A3"/>
    <w:rsid w:val="009E40C2"/>
    <w:rsid w:val="009E50FB"/>
    <w:rsid w:val="009F1504"/>
    <w:rsid w:val="009F1BDD"/>
    <w:rsid w:val="009F27AA"/>
    <w:rsid w:val="009F3A18"/>
    <w:rsid w:val="009F55D8"/>
    <w:rsid w:val="009F62A6"/>
    <w:rsid w:val="00A011C1"/>
    <w:rsid w:val="00A01527"/>
    <w:rsid w:val="00A01802"/>
    <w:rsid w:val="00A0202A"/>
    <w:rsid w:val="00A048CC"/>
    <w:rsid w:val="00A06442"/>
    <w:rsid w:val="00A10761"/>
    <w:rsid w:val="00A11271"/>
    <w:rsid w:val="00A117E7"/>
    <w:rsid w:val="00A12779"/>
    <w:rsid w:val="00A128E2"/>
    <w:rsid w:val="00A133E5"/>
    <w:rsid w:val="00A13FC6"/>
    <w:rsid w:val="00A16581"/>
    <w:rsid w:val="00A230EB"/>
    <w:rsid w:val="00A24215"/>
    <w:rsid w:val="00A24C83"/>
    <w:rsid w:val="00A30221"/>
    <w:rsid w:val="00A314EA"/>
    <w:rsid w:val="00A43A08"/>
    <w:rsid w:val="00A50334"/>
    <w:rsid w:val="00A50697"/>
    <w:rsid w:val="00A52368"/>
    <w:rsid w:val="00A5245D"/>
    <w:rsid w:val="00A52E17"/>
    <w:rsid w:val="00A5561D"/>
    <w:rsid w:val="00A61A21"/>
    <w:rsid w:val="00A64BEC"/>
    <w:rsid w:val="00A71A80"/>
    <w:rsid w:val="00A74CD0"/>
    <w:rsid w:val="00A82A7A"/>
    <w:rsid w:val="00A8570D"/>
    <w:rsid w:val="00A86449"/>
    <w:rsid w:val="00A869A2"/>
    <w:rsid w:val="00A91E79"/>
    <w:rsid w:val="00A93004"/>
    <w:rsid w:val="00A932D8"/>
    <w:rsid w:val="00A9656D"/>
    <w:rsid w:val="00A9796A"/>
    <w:rsid w:val="00AA18B9"/>
    <w:rsid w:val="00AA1BA6"/>
    <w:rsid w:val="00AA45EE"/>
    <w:rsid w:val="00AA5BA4"/>
    <w:rsid w:val="00AA61BB"/>
    <w:rsid w:val="00AA75DC"/>
    <w:rsid w:val="00AB0FB1"/>
    <w:rsid w:val="00AB19CD"/>
    <w:rsid w:val="00AB342C"/>
    <w:rsid w:val="00AB4EDF"/>
    <w:rsid w:val="00AB5B87"/>
    <w:rsid w:val="00AC0C67"/>
    <w:rsid w:val="00AD658E"/>
    <w:rsid w:val="00AE2AC4"/>
    <w:rsid w:val="00AE39E6"/>
    <w:rsid w:val="00AE529B"/>
    <w:rsid w:val="00AF323B"/>
    <w:rsid w:val="00AF5387"/>
    <w:rsid w:val="00AF7239"/>
    <w:rsid w:val="00B001F9"/>
    <w:rsid w:val="00B012E9"/>
    <w:rsid w:val="00B02544"/>
    <w:rsid w:val="00B114C4"/>
    <w:rsid w:val="00B11F5C"/>
    <w:rsid w:val="00B134FF"/>
    <w:rsid w:val="00B13720"/>
    <w:rsid w:val="00B15069"/>
    <w:rsid w:val="00B1621B"/>
    <w:rsid w:val="00B22711"/>
    <w:rsid w:val="00B22B2E"/>
    <w:rsid w:val="00B23C6E"/>
    <w:rsid w:val="00B256E1"/>
    <w:rsid w:val="00B25B7A"/>
    <w:rsid w:val="00B26CC0"/>
    <w:rsid w:val="00B31A93"/>
    <w:rsid w:val="00B3347C"/>
    <w:rsid w:val="00B3426F"/>
    <w:rsid w:val="00B42529"/>
    <w:rsid w:val="00B42B30"/>
    <w:rsid w:val="00B42BC7"/>
    <w:rsid w:val="00B43292"/>
    <w:rsid w:val="00B4592C"/>
    <w:rsid w:val="00B504EB"/>
    <w:rsid w:val="00B5168A"/>
    <w:rsid w:val="00B5380F"/>
    <w:rsid w:val="00B6142B"/>
    <w:rsid w:val="00B61FD5"/>
    <w:rsid w:val="00B637E5"/>
    <w:rsid w:val="00B6710C"/>
    <w:rsid w:val="00B67864"/>
    <w:rsid w:val="00B75E16"/>
    <w:rsid w:val="00B75FD8"/>
    <w:rsid w:val="00B777B7"/>
    <w:rsid w:val="00B77E1C"/>
    <w:rsid w:val="00B77F98"/>
    <w:rsid w:val="00B80CB1"/>
    <w:rsid w:val="00B820AA"/>
    <w:rsid w:val="00B83604"/>
    <w:rsid w:val="00B84162"/>
    <w:rsid w:val="00B846C1"/>
    <w:rsid w:val="00B85C38"/>
    <w:rsid w:val="00B92149"/>
    <w:rsid w:val="00B93711"/>
    <w:rsid w:val="00B972CE"/>
    <w:rsid w:val="00B97C86"/>
    <w:rsid w:val="00BA4044"/>
    <w:rsid w:val="00BA4D53"/>
    <w:rsid w:val="00BB3EA9"/>
    <w:rsid w:val="00BB433C"/>
    <w:rsid w:val="00BB7129"/>
    <w:rsid w:val="00BD2F54"/>
    <w:rsid w:val="00BD4C1B"/>
    <w:rsid w:val="00BE1B0E"/>
    <w:rsid w:val="00BF3FB5"/>
    <w:rsid w:val="00C00CD8"/>
    <w:rsid w:val="00C026DE"/>
    <w:rsid w:val="00C03709"/>
    <w:rsid w:val="00C10E92"/>
    <w:rsid w:val="00C1144A"/>
    <w:rsid w:val="00C13927"/>
    <w:rsid w:val="00C175A6"/>
    <w:rsid w:val="00C21D3E"/>
    <w:rsid w:val="00C27323"/>
    <w:rsid w:val="00C34186"/>
    <w:rsid w:val="00C35928"/>
    <w:rsid w:val="00C40C70"/>
    <w:rsid w:val="00C42581"/>
    <w:rsid w:val="00C55BCD"/>
    <w:rsid w:val="00C63471"/>
    <w:rsid w:val="00C63728"/>
    <w:rsid w:val="00C64FE3"/>
    <w:rsid w:val="00C729B1"/>
    <w:rsid w:val="00C73E09"/>
    <w:rsid w:val="00C74BBD"/>
    <w:rsid w:val="00C74BE0"/>
    <w:rsid w:val="00C74DB9"/>
    <w:rsid w:val="00C74FAE"/>
    <w:rsid w:val="00C759D5"/>
    <w:rsid w:val="00C864C7"/>
    <w:rsid w:val="00C865CF"/>
    <w:rsid w:val="00C91C2E"/>
    <w:rsid w:val="00C91DB0"/>
    <w:rsid w:val="00C91E62"/>
    <w:rsid w:val="00C934F7"/>
    <w:rsid w:val="00C9483C"/>
    <w:rsid w:val="00C954E0"/>
    <w:rsid w:val="00C95595"/>
    <w:rsid w:val="00C9615B"/>
    <w:rsid w:val="00CA4CD7"/>
    <w:rsid w:val="00CB00C2"/>
    <w:rsid w:val="00CB0558"/>
    <w:rsid w:val="00CB0FD1"/>
    <w:rsid w:val="00CB1F9C"/>
    <w:rsid w:val="00CB4B06"/>
    <w:rsid w:val="00CB4CE8"/>
    <w:rsid w:val="00CB57F4"/>
    <w:rsid w:val="00CB5C01"/>
    <w:rsid w:val="00CB6469"/>
    <w:rsid w:val="00CB6AB9"/>
    <w:rsid w:val="00CB72F9"/>
    <w:rsid w:val="00CB77CA"/>
    <w:rsid w:val="00CC05E0"/>
    <w:rsid w:val="00CC5186"/>
    <w:rsid w:val="00CD593A"/>
    <w:rsid w:val="00CE0F67"/>
    <w:rsid w:val="00CE1496"/>
    <w:rsid w:val="00CF7697"/>
    <w:rsid w:val="00D019DF"/>
    <w:rsid w:val="00D0408D"/>
    <w:rsid w:val="00D07ED2"/>
    <w:rsid w:val="00D11C40"/>
    <w:rsid w:val="00D133A0"/>
    <w:rsid w:val="00D13CDA"/>
    <w:rsid w:val="00D172E5"/>
    <w:rsid w:val="00D1745F"/>
    <w:rsid w:val="00D20842"/>
    <w:rsid w:val="00D2196B"/>
    <w:rsid w:val="00D22259"/>
    <w:rsid w:val="00D232B0"/>
    <w:rsid w:val="00D25818"/>
    <w:rsid w:val="00D30CDD"/>
    <w:rsid w:val="00D371C0"/>
    <w:rsid w:val="00D37E38"/>
    <w:rsid w:val="00D4097A"/>
    <w:rsid w:val="00D45381"/>
    <w:rsid w:val="00D47D79"/>
    <w:rsid w:val="00D50120"/>
    <w:rsid w:val="00D5070C"/>
    <w:rsid w:val="00D51B7B"/>
    <w:rsid w:val="00D535AE"/>
    <w:rsid w:val="00D53B06"/>
    <w:rsid w:val="00D561CD"/>
    <w:rsid w:val="00D564C1"/>
    <w:rsid w:val="00D56D23"/>
    <w:rsid w:val="00D62E5D"/>
    <w:rsid w:val="00D64B07"/>
    <w:rsid w:val="00D66027"/>
    <w:rsid w:val="00D67559"/>
    <w:rsid w:val="00D7024E"/>
    <w:rsid w:val="00D708F3"/>
    <w:rsid w:val="00D728F1"/>
    <w:rsid w:val="00D7575F"/>
    <w:rsid w:val="00D819C7"/>
    <w:rsid w:val="00D82FD7"/>
    <w:rsid w:val="00D84C40"/>
    <w:rsid w:val="00D90A40"/>
    <w:rsid w:val="00D913E2"/>
    <w:rsid w:val="00D96E49"/>
    <w:rsid w:val="00D970F7"/>
    <w:rsid w:val="00DA493F"/>
    <w:rsid w:val="00DA587C"/>
    <w:rsid w:val="00DB2D39"/>
    <w:rsid w:val="00DB4851"/>
    <w:rsid w:val="00DB5D0E"/>
    <w:rsid w:val="00DB65BC"/>
    <w:rsid w:val="00DD0AD4"/>
    <w:rsid w:val="00DD28A3"/>
    <w:rsid w:val="00DD5078"/>
    <w:rsid w:val="00DD5CEF"/>
    <w:rsid w:val="00DD6A12"/>
    <w:rsid w:val="00DE2D74"/>
    <w:rsid w:val="00DE34CF"/>
    <w:rsid w:val="00DF1CC0"/>
    <w:rsid w:val="00DF47CC"/>
    <w:rsid w:val="00DF5E22"/>
    <w:rsid w:val="00DF6281"/>
    <w:rsid w:val="00DF66A2"/>
    <w:rsid w:val="00DF7C77"/>
    <w:rsid w:val="00E0122D"/>
    <w:rsid w:val="00E0235B"/>
    <w:rsid w:val="00E03823"/>
    <w:rsid w:val="00E03CAB"/>
    <w:rsid w:val="00E04DEB"/>
    <w:rsid w:val="00E05E3E"/>
    <w:rsid w:val="00E06330"/>
    <w:rsid w:val="00E10CD5"/>
    <w:rsid w:val="00E173DB"/>
    <w:rsid w:val="00E174B2"/>
    <w:rsid w:val="00E20F7F"/>
    <w:rsid w:val="00E22252"/>
    <w:rsid w:val="00E23D50"/>
    <w:rsid w:val="00E2413E"/>
    <w:rsid w:val="00E24CEF"/>
    <w:rsid w:val="00E259EF"/>
    <w:rsid w:val="00E3010E"/>
    <w:rsid w:val="00E330E4"/>
    <w:rsid w:val="00E4104E"/>
    <w:rsid w:val="00E42F91"/>
    <w:rsid w:val="00E43F3E"/>
    <w:rsid w:val="00E44C43"/>
    <w:rsid w:val="00E44E5F"/>
    <w:rsid w:val="00E453C2"/>
    <w:rsid w:val="00E4544C"/>
    <w:rsid w:val="00E4558C"/>
    <w:rsid w:val="00E511FA"/>
    <w:rsid w:val="00E512CD"/>
    <w:rsid w:val="00E545C9"/>
    <w:rsid w:val="00E550D0"/>
    <w:rsid w:val="00E57509"/>
    <w:rsid w:val="00E64F49"/>
    <w:rsid w:val="00E66106"/>
    <w:rsid w:val="00E70953"/>
    <w:rsid w:val="00E72703"/>
    <w:rsid w:val="00E72931"/>
    <w:rsid w:val="00E73F2C"/>
    <w:rsid w:val="00E7628F"/>
    <w:rsid w:val="00E7660A"/>
    <w:rsid w:val="00E77D9C"/>
    <w:rsid w:val="00E81B3F"/>
    <w:rsid w:val="00E8774E"/>
    <w:rsid w:val="00E877FB"/>
    <w:rsid w:val="00E91255"/>
    <w:rsid w:val="00E91ECB"/>
    <w:rsid w:val="00E9461D"/>
    <w:rsid w:val="00E94CF2"/>
    <w:rsid w:val="00E970BC"/>
    <w:rsid w:val="00E97586"/>
    <w:rsid w:val="00EA0C88"/>
    <w:rsid w:val="00EA1C46"/>
    <w:rsid w:val="00EA3BF0"/>
    <w:rsid w:val="00EA40AD"/>
    <w:rsid w:val="00EA422F"/>
    <w:rsid w:val="00EA7438"/>
    <w:rsid w:val="00EA7A27"/>
    <w:rsid w:val="00EA7B98"/>
    <w:rsid w:val="00EA7E3D"/>
    <w:rsid w:val="00EB5BEC"/>
    <w:rsid w:val="00EB6AEC"/>
    <w:rsid w:val="00EC0E70"/>
    <w:rsid w:val="00EC2A95"/>
    <w:rsid w:val="00ED0BC9"/>
    <w:rsid w:val="00ED107F"/>
    <w:rsid w:val="00ED23BD"/>
    <w:rsid w:val="00ED290F"/>
    <w:rsid w:val="00ED5873"/>
    <w:rsid w:val="00EE42B5"/>
    <w:rsid w:val="00EE458A"/>
    <w:rsid w:val="00EE472B"/>
    <w:rsid w:val="00EE57A2"/>
    <w:rsid w:val="00EE6712"/>
    <w:rsid w:val="00EE672B"/>
    <w:rsid w:val="00EE7A17"/>
    <w:rsid w:val="00EF0BB4"/>
    <w:rsid w:val="00EF14CD"/>
    <w:rsid w:val="00EF1D0F"/>
    <w:rsid w:val="00EF3705"/>
    <w:rsid w:val="00EF4AB1"/>
    <w:rsid w:val="00EF5A77"/>
    <w:rsid w:val="00EF5E40"/>
    <w:rsid w:val="00F004AE"/>
    <w:rsid w:val="00F00D92"/>
    <w:rsid w:val="00F00F56"/>
    <w:rsid w:val="00F02D9D"/>
    <w:rsid w:val="00F05D5E"/>
    <w:rsid w:val="00F05F39"/>
    <w:rsid w:val="00F143EC"/>
    <w:rsid w:val="00F14F9C"/>
    <w:rsid w:val="00F245A7"/>
    <w:rsid w:val="00F356E1"/>
    <w:rsid w:val="00F3707B"/>
    <w:rsid w:val="00F37F91"/>
    <w:rsid w:val="00F45496"/>
    <w:rsid w:val="00F500E6"/>
    <w:rsid w:val="00F50C74"/>
    <w:rsid w:val="00F54FE3"/>
    <w:rsid w:val="00F56168"/>
    <w:rsid w:val="00F572E9"/>
    <w:rsid w:val="00F63569"/>
    <w:rsid w:val="00F654EC"/>
    <w:rsid w:val="00F71F8D"/>
    <w:rsid w:val="00F749E4"/>
    <w:rsid w:val="00F7532E"/>
    <w:rsid w:val="00F76ABA"/>
    <w:rsid w:val="00F772D0"/>
    <w:rsid w:val="00F8104E"/>
    <w:rsid w:val="00F81467"/>
    <w:rsid w:val="00F90A57"/>
    <w:rsid w:val="00F94608"/>
    <w:rsid w:val="00FA118C"/>
    <w:rsid w:val="00FA2888"/>
    <w:rsid w:val="00FA594F"/>
    <w:rsid w:val="00FA598D"/>
    <w:rsid w:val="00FA74E8"/>
    <w:rsid w:val="00FB04B4"/>
    <w:rsid w:val="00FB1A4C"/>
    <w:rsid w:val="00FB606E"/>
    <w:rsid w:val="00FC2E97"/>
    <w:rsid w:val="00FC4B94"/>
    <w:rsid w:val="00FC4D0F"/>
    <w:rsid w:val="00FC5DD1"/>
    <w:rsid w:val="00FD1F84"/>
    <w:rsid w:val="00FD3F4C"/>
    <w:rsid w:val="00FD3FAA"/>
    <w:rsid w:val="00FD4C4F"/>
    <w:rsid w:val="00FD5017"/>
    <w:rsid w:val="00FD58AF"/>
    <w:rsid w:val="00FE0732"/>
    <w:rsid w:val="00FE28AC"/>
    <w:rsid w:val="00FE7A7B"/>
    <w:rsid w:val="00FF5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39356"/>
  <w15:chartTrackingRefBased/>
  <w15:docId w15:val="{BEED60EE-8984-4B3C-A72A-2570C56C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99"/>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qFormat="1"/>
    <w:lsdException w:name="footer" w:uiPriority="99" w:qFormat="1"/>
    <w:lsdException w:name="caption" w:uiPriority="35"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Bullet" w:uiPriority="12" w:qFormat="1"/>
    <w:lsdException w:name="List Number" w:uiPriority="13" w:qFormat="1"/>
    <w:lsdException w:name="Title" w:uiPriority="10" w:qFormat="1"/>
    <w:lsdException w:name="Body Text" w:uiPriority="1" w:qFormat="1"/>
    <w:lsdException w:name="Subtitle" w:uiPriority="11" w:qFormat="1"/>
    <w:lsdException w:name="Date" w:uiPriority="99"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4C08"/>
    <w:pPr>
      <w:overflowPunct w:val="0"/>
      <w:autoSpaceDE w:val="0"/>
      <w:autoSpaceDN w:val="0"/>
      <w:adjustRightInd w:val="0"/>
      <w:spacing w:after="180"/>
      <w:textAlignment w:val="baseline"/>
    </w:pPr>
  </w:style>
  <w:style w:type="paragraph" w:styleId="Heading1">
    <w:name w:val="heading 1"/>
    <w:next w:val="Normal"/>
    <w:link w:val="Heading1Char"/>
    <w:uiPriority w:val="9"/>
    <w:qFormat/>
    <w:rsid w:val="00064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2B09BC"/>
    <w:pPr>
      <w:numPr>
        <w:numId w:val="3"/>
      </w:numPr>
      <w:pBdr>
        <w:top w:val="none" w:sz="0" w:space="0" w:color="auto"/>
      </w:pBdr>
      <w:tabs>
        <w:tab w:val="left" w:pos="567"/>
      </w:tabs>
      <w:spacing w:before="180"/>
      <w:ind w:left="567" w:hanging="567"/>
      <w:outlineLvl w:val="1"/>
    </w:pPr>
    <w:rPr>
      <w:sz w:val="32"/>
      <w:lang w:val="en-US"/>
    </w:rPr>
  </w:style>
  <w:style w:type="paragraph" w:styleId="Heading3">
    <w:name w:val="heading 3"/>
    <w:basedOn w:val="Heading2"/>
    <w:next w:val="Normal"/>
    <w:link w:val="Heading3Char"/>
    <w:uiPriority w:val="9"/>
    <w:qFormat/>
    <w:rsid w:val="002B09BC"/>
    <w:pPr>
      <w:numPr>
        <w:numId w:val="0"/>
      </w:numPr>
      <w:spacing w:before="120"/>
      <w:ind w:left="567" w:hanging="567"/>
      <w:outlineLvl w:val="2"/>
    </w:pPr>
    <w:rPr>
      <w:sz w:val="28"/>
    </w:rPr>
  </w:style>
  <w:style w:type="paragraph" w:styleId="Heading4">
    <w:name w:val="heading 4"/>
    <w:basedOn w:val="Heading3"/>
    <w:next w:val="Normal"/>
    <w:link w:val="Heading4Char"/>
    <w:uiPriority w:val="9"/>
    <w:qFormat/>
    <w:rsid w:val="00064C08"/>
    <w:pPr>
      <w:ind w:left="1418" w:hanging="1418"/>
      <w:outlineLvl w:val="3"/>
    </w:pPr>
    <w:rPr>
      <w:sz w:val="24"/>
    </w:rPr>
  </w:style>
  <w:style w:type="paragraph" w:styleId="Heading5">
    <w:name w:val="heading 5"/>
    <w:basedOn w:val="Heading4"/>
    <w:next w:val="Normal"/>
    <w:link w:val="Heading5Char"/>
    <w:uiPriority w:val="9"/>
    <w:qFormat/>
    <w:rsid w:val="00064C08"/>
    <w:pPr>
      <w:ind w:left="1701" w:hanging="1701"/>
      <w:outlineLvl w:val="4"/>
    </w:pPr>
    <w:rPr>
      <w:sz w:val="22"/>
    </w:rPr>
  </w:style>
  <w:style w:type="paragraph" w:styleId="Heading6">
    <w:name w:val="heading 6"/>
    <w:basedOn w:val="H6"/>
    <w:next w:val="Normal"/>
    <w:link w:val="Heading6Char"/>
    <w:uiPriority w:val="9"/>
    <w:qFormat/>
    <w:rsid w:val="00064C08"/>
    <w:pPr>
      <w:outlineLvl w:val="5"/>
    </w:pPr>
  </w:style>
  <w:style w:type="paragraph" w:styleId="Heading7">
    <w:name w:val="heading 7"/>
    <w:basedOn w:val="H6"/>
    <w:next w:val="Normal"/>
    <w:link w:val="Heading7Char"/>
    <w:uiPriority w:val="9"/>
    <w:qFormat/>
    <w:rsid w:val="00064C08"/>
    <w:pPr>
      <w:outlineLvl w:val="6"/>
    </w:pPr>
  </w:style>
  <w:style w:type="paragraph" w:styleId="Heading8">
    <w:name w:val="heading 8"/>
    <w:basedOn w:val="Heading1"/>
    <w:next w:val="Normal"/>
    <w:link w:val="Heading8Char"/>
    <w:uiPriority w:val="9"/>
    <w:qFormat/>
    <w:rsid w:val="00064C08"/>
    <w:pPr>
      <w:ind w:left="0" w:firstLine="0"/>
      <w:outlineLvl w:val="7"/>
    </w:pPr>
  </w:style>
  <w:style w:type="paragraph" w:styleId="Heading9">
    <w:name w:val="heading 9"/>
    <w:basedOn w:val="Heading8"/>
    <w:next w:val="Normal"/>
    <w:link w:val="Heading9Char"/>
    <w:uiPriority w:val="9"/>
    <w:qFormat/>
    <w:rsid w:val="00064C0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3584F"/>
    <w:rPr>
      <w:rFonts w:ascii="Arial" w:hAnsi="Arial"/>
      <w:sz w:val="36"/>
      <w:lang w:val="en-GB"/>
    </w:rPr>
  </w:style>
  <w:style w:type="character" w:customStyle="1" w:styleId="Heading2Char">
    <w:name w:val="Heading 2 Char"/>
    <w:link w:val="Heading2"/>
    <w:uiPriority w:val="9"/>
    <w:rsid w:val="0083584F"/>
    <w:rPr>
      <w:rFonts w:ascii="Arial" w:hAnsi="Arial"/>
      <w:sz w:val="32"/>
    </w:rPr>
  </w:style>
  <w:style w:type="character" w:customStyle="1" w:styleId="Heading3Char">
    <w:name w:val="Heading 3 Char"/>
    <w:link w:val="Heading3"/>
    <w:uiPriority w:val="9"/>
    <w:rsid w:val="0083584F"/>
    <w:rPr>
      <w:rFonts w:ascii="Arial" w:hAnsi="Arial"/>
      <w:sz w:val="28"/>
    </w:rPr>
  </w:style>
  <w:style w:type="character" w:customStyle="1" w:styleId="Heading4Char">
    <w:name w:val="Heading 4 Char"/>
    <w:link w:val="Heading4"/>
    <w:uiPriority w:val="9"/>
    <w:rsid w:val="0083584F"/>
    <w:rPr>
      <w:rFonts w:ascii="Arial" w:hAnsi="Arial"/>
      <w:sz w:val="24"/>
    </w:rPr>
  </w:style>
  <w:style w:type="character" w:customStyle="1" w:styleId="Heading5Char">
    <w:name w:val="Heading 5 Char"/>
    <w:link w:val="Heading5"/>
    <w:uiPriority w:val="9"/>
    <w:rsid w:val="0083584F"/>
    <w:rPr>
      <w:rFonts w:ascii="Arial" w:hAnsi="Arial"/>
      <w:sz w:val="22"/>
    </w:rPr>
  </w:style>
  <w:style w:type="paragraph" w:customStyle="1" w:styleId="H6">
    <w:name w:val="H6"/>
    <w:basedOn w:val="Heading5"/>
    <w:next w:val="Normal"/>
    <w:rsid w:val="00064C08"/>
    <w:pPr>
      <w:ind w:left="1985" w:hanging="1985"/>
      <w:outlineLvl w:val="9"/>
    </w:pPr>
    <w:rPr>
      <w:sz w:val="20"/>
    </w:rPr>
  </w:style>
  <w:style w:type="character" w:customStyle="1" w:styleId="Heading6Char">
    <w:name w:val="Heading 6 Char"/>
    <w:link w:val="Heading6"/>
    <w:uiPriority w:val="9"/>
    <w:rsid w:val="0083584F"/>
    <w:rPr>
      <w:rFonts w:ascii="Arial" w:hAnsi="Arial"/>
    </w:rPr>
  </w:style>
  <w:style w:type="character" w:customStyle="1" w:styleId="Heading7Char">
    <w:name w:val="Heading 7 Char"/>
    <w:link w:val="Heading7"/>
    <w:uiPriority w:val="9"/>
    <w:rsid w:val="0083584F"/>
    <w:rPr>
      <w:rFonts w:ascii="Arial" w:hAnsi="Arial"/>
    </w:rPr>
  </w:style>
  <w:style w:type="character" w:customStyle="1" w:styleId="Heading8Char">
    <w:name w:val="Heading 8 Char"/>
    <w:link w:val="Heading8"/>
    <w:uiPriority w:val="9"/>
    <w:rsid w:val="0083584F"/>
    <w:rPr>
      <w:rFonts w:ascii="Arial" w:hAnsi="Arial"/>
      <w:sz w:val="36"/>
      <w:lang w:val="en-GB"/>
    </w:rPr>
  </w:style>
  <w:style w:type="character" w:customStyle="1" w:styleId="Heading9Char">
    <w:name w:val="Heading 9 Char"/>
    <w:link w:val="Heading9"/>
    <w:uiPriority w:val="9"/>
    <w:rsid w:val="0083584F"/>
    <w:rPr>
      <w:rFonts w:ascii="Arial" w:hAnsi="Arial"/>
      <w:sz w:val="36"/>
      <w:lang w:val="en-GB"/>
    </w:rPr>
  </w:style>
  <w:style w:type="paragraph" w:styleId="TOC9">
    <w:name w:val="toc 9"/>
    <w:basedOn w:val="TOC8"/>
    <w:uiPriority w:val="39"/>
    <w:rsid w:val="00064C08"/>
    <w:pPr>
      <w:ind w:left="1418" w:hanging="1418"/>
    </w:pPr>
  </w:style>
  <w:style w:type="paragraph" w:styleId="TOC8">
    <w:name w:val="toc 8"/>
    <w:basedOn w:val="TOC1"/>
    <w:uiPriority w:val="39"/>
    <w:rsid w:val="00064C08"/>
    <w:pPr>
      <w:spacing w:before="180"/>
      <w:ind w:left="2693" w:hanging="2693"/>
    </w:pPr>
    <w:rPr>
      <w:b/>
    </w:rPr>
  </w:style>
  <w:style w:type="paragraph" w:styleId="TOC1">
    <w:name w:val="toc 1"/>
    <w:uiPriority w:val="39"/>
    <w:qFormat/>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link w:val="HeaderChar"/>
    <w:uiPriority w:val="99"/>
    <w:qFormat/>
    <w:rsid w:val="00064C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uiPriority w:val="99"/>
    <w:rsid w:val="0083584F"/>
    <w:rPr>
      <w:rFonts w:ascii="Arial" w:hAnsi="Arial"/>
      <w:b/>
      <w:noProof/>
      <w:sz w:val="18"/>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64C08"/>
    <w:pPr>
      <w:ind w:left="1701" w:hanging="1701"/>
    </w:pPr>
  </w:style>
  <w:style w:type="paragraph" w:styleId="TOC4">
    <w:name w:val="toc 4"/>
    <w:basedOn w:val="TOC3"/>
    <w:uiPriority w:val="39"/>
    <w:rsid w:val="00064C08"/>
    <w:pPr>
      <w:ind w:left="1418" w:hanging="1418"/>
    </w:pPr>
  </w:style>
  <w:style w:type="paragraph" w:styleId="TOC3">
    <w:name w:val="toc 3"/>
    <w:basedOn w:val="TOC2"/>
    <w:uiPriority w:val="39"/>
    <w:rsid w:val="00064C08"/>
    <w:pPr>
      <w:ind w:left="1134" w:hanging="1134"/>
    </w:pPr>
  </w:style>
  <w:style w:type="paragraph" w:styleId="TOC2">
    <w:name w:val="toc 2"/>
    <w:basedOn w:val="TOC1"/>
    <w:uiPriority w:val="39"/>
    <w:qFormat/>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link w:val="FooterChar"/>
    <w:uiPriority w:val="99"/>
    <w:qFormat/>
    <w:rsid w:val="00064C08"/>
    <w:pPr>
      <w:jc w:val="center"/>
    </w:pPr>
    <w:rPr>
      <w:i/>
    </w:rPr>
  </w:style>
  <w:style w:type="character" w:customStyle="1" w:styleId="FooterChar">
    <w:name w:val="Footer Char"/>
    <w:link w:val="Footer"/>
    <w:uiPriority w:val="99"/>
    <w:rsid w:val="0083584F"/>
    <w:rPr>
      <w:rFonts w:ascii="Arial" w:hAnsi="Arial"/>
      <w:b/>
      <w:i/>
      <w:noProof/>
      <w:sz w:val="18"/>
    </w:rPr>
  </w:style>
  <w:style w:type="character" w:styleId="FootnoteReference">
    <w:name w:val="footnote reference"/>
    <w:uiPriority w:val="99"/>
    <w:semiHidden/>
    <w:rsid w:val="00064C08"/>
    <w:rPr>
      <w:b/>
      <w:position w:val="6"/>
      <w:sz w:val="16"/>
    </w:rPr>
  </w:style>
  <w:style w:type="paragraph" w:styleId="FootnoteText">
    <w:name w:val="footnote text"/>
    <w:basedOn w:val="Normal"/>
    <w:link w:val="FootnoteTextChar"/>
    <w:uiPriority w:val="99"/>
    <w:semiHidden/>
    <w:rsid w:val="00064C08"/>
    <w:pPr>
      <w:keepLines/>
      <w:spacing w:after="0"/>
      <w:ind w:left="454" w:hanging="454"/>
    </w:pPr>
    <w:rPr>
      <w:sz w:val="16"/>
    </w:rPr>
  </w:style>
  <w:style w:type="character" w:customStyle="1" w:styleId="FootnoteTextChar">
    <w:name w:val="Footnote Text Char"/>
    <w:link w:val="FootnoteText"/>
    <w:uiPriority w:val="99"/>
    <w:semiHidden/>
    <w:rsid w:val="0083584F"/>
    <w:rPr>
      <w:sz w:val="16"/>
      <w:lang w:val="en-GB"/>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character" w:customStyle="1" w:styleId="NOChar">
    <w:name w:val="NO Char"/>
    <w:link w:val="NO"/>
    <w:rsid w:val="00942D92"/>
    <w:rPr>
      <w:lang w:val="en-GB" w:eastAsia="en-US" w:bidi="ar-SA"/>
    </w:r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uiPriority w:val="13"/>
    <w:qFormat/>
    <w:rsid w:val="00064C08"/>
  </w:style>
  <w:style w:type="paragraph" w:styleId="List">
    <w:name w:val="List"/>
    <w:basedOn w:val="Normal"/>
    <w:uiPriority w:val="99"/>
    <w:rsid w:val="00064C08"/>
    <w:pPr>
      <w:ind w:left="568" w:hanging="284"/>
    </w:pPr>
  </w:style>
  <w:style w:type="paragraph" w:customStyle="1" w:styleId="TAH">
    <w:name w:val="TAH"/>
    <w:basedOn w:val="TAC"/>
    <w:rsid w:val="00064C08"/>
    <w:rPr>
      <w:b/>
    </w:rPr>
  </w:style>
  <w:style w:type="paragraph" w:customStyle="1" w:styleId="TAC">
    <w:name w:val="TAC"/>
    <w:basedOn w:val="TAL"/>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uiPriority w:val="39"/>
    <w:rsid w:val="00064C08"/>
    <w:pPr>
      <w:ind w:left="1985" w:hanging="1985"/>
    </w:pPr>
  </w:style>
  <w:style w:type="paragraph" w:styleId="TOC7">
    <w:name w:val="toc 7"/>
    <w:basedOn w:val="TOC6"/>
    <w:next w:val="Normal"/>
    <w:uiPriority w:val="39"/>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uiPriority w:val="12"/>
    <w:qForma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uiPriority w:val="1"/>
    <w:qFormat/>
  </w:style>
  <w:style w:type="character" w:customStyle="1" w:styleId="BodyTextChar">
    <w:name w:val="Body Text Char"/>
    <w:link w:val="BodyText"/>
    <w:uiPriority w:val="1"/>
    <w:rsid w:val="0083584F"/>
    <w:rPr>
      <w:lang w:val="en-GB"/>
    </w:rP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B31A93"/>
    <w:rPr>
      <w:lang w:val="en-GB" w:eastAsia="en-US"/>
    </w:rPr>
  </w:style>
  <w:style w:type="table" w:styleId="TableGrid">
    <w:name w:val="Table Grid"/>
    <w:basedOn w:val="TableNormal"/>
    <w:uiPriority w:val="3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rsid w:val="00256821"/>
    <w:rPr>
      <w:rFonts w:ascii="Tahoma" w:hAnsi="Tahoma" w:cs="Tahoma"/>
      <w:sz w:val="16"/>
      <w:szCs w:val="16"/>
    </w:rPr>
  </w:style>
  <w:style w:type="character" w:customStyle="1" w:styleId="BalloonTextChar">
    <w:name w:val="Balloon Text Char"/>
    <w:link w:val="BalloonText"/>
    <w:uiPriority w:val="99"/>
    <w:semiHidden/>
    <w:rsid w:val="0083584F"/>
    <w:rPr>
      <w:rFonts w:ascii="Tahoma" w:hAnsi="Tahoma" w:cs="Tahoma"/>
      <w:sz w:val="16"/>
      <w:szCs w:val="16"/>
      <w:lang w:val="en-GB"/>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table" w:styleId="MediumShading1-Accent3">
    <w:name w:val="Medium Shading 1 Accent 3"/>
    <w:basedOn w:val="TableNormal"/>
    <w:uiPriority w:val="63"/>
    <w:rsid w:val="00522112"/>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Grid-Accent3">
    <w:name w:val="Light Grid Accent 3"/>
    <w:basedOn w:val="TableNormal"/>
    <w:uiPriority w:val="62"/>
    <w:rsid w:val="00522112"/>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3">
    <w:name w:val="Medium Grid 3 Accent 3"/>
    <w:basedOn w:val="TableNormal"/>
    <w:uiPriority w:val="69"/>
    <w:rsid w:val="0052211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ommentSubject">
    <w:name w:val="annotation subject"/>
    <w:basedOn w:val="CommentText"/>
    <w:next w:val="CommentText"/>
    <w:link w:val="CommentSubjectChar"/>
    <w:uiPriority w:val="99"/>
    <w:rsid w:val="00B31A93"/>
    <w:rPr>
      <w:b/>
      <w:bCs/>
    </w:rPr>
  </w:style>
  <w:style w:type="character" w:customStyle="1" w:styleId="CommentSubjectChar">
    <w:name w:val="Comment Subject Char"/>
    <w:link w:val="CommentSubject"/>
    <w:uiPriority w:val="99"/>
    <w:rsid w:val="00B31A93"/>
    <w:rPr>
      <w:b/>
      <w:bCs/>
      <w:lang w:val="en-GB" w:eastAsia="en-US"/>
    </w:rPr>
  </w:style>
  <w:style w:type="paragraph" w:styleId="Revision">
    <w:name w:val="Revision"/>
    <w:hidden/>
    <w:uiPriority w:val="99"/>
    <w:semiHidden/>
    <w:rsid w:val="00B31A93"/>
    <w:rPr>
      <w:lang w:val="en-GB"/>
    </w:rPr>
  </w:style>
  <w:style w:type="paragraph" w:styleId="ListParagraph">
    <w:name w:val="List Paragraph"/>
    <w:basedOn w:val="Normal"/>
    <w:uiPriority w:val="34"/>
    <w:qFormat/>
    <w:rsid w:val="00FC2E97"/>
    <w:pPr>
      <w:tabs>
        <w:tab w:val="left" w:pos="1134"/>
        <w:tab w:val="left" w:pos="1871"/>
        <w:tab w:val="left" w:pos="2268"/>
      </w:tabs>
      <w:spacing w:before="120" w:after="0"/>
      <w:ind w:left="720"/>
      <w:contextualSpacing/>
    </w:pPr>
    <w:rPr>
      <w:rFonts w:eastAsia="MS Mincho"/>
      <w:sz w:val="24"/>
    </w:rPr>
  </w:style>
  <w:style w:type="table" w:styleId="TableGridLight">
    <w:name w:val="Grid Table Light"/>
    <w:basedOn w:val="TableNormal"/>
    <w:uiPriority w:val="40"/>
    <w:rsid w:val="0083584F"/>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4">
    <w:name w:val="Plain Table 4"/>
    <w:basedOn w:val="TableNormal"/>
    <w:uiPriority w:val="44"/>
    <w:rsid w:val="0083584F"/>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Quote">
    <w:name w:val="Quote"/>
    <w:basedOn w:val="Normal"/>
    <w:next w:val="Normal"/>
    <w:link w:val="QuoteChar"/>
    <w:uiPriority w:val="29"/>
    <w:qFormat/>
    <w:rsid w:val="0083584F"/>
    <w:pPr>
      <w:overflowPunct/>
      <w:autoSpaceDE/>
      <w:autoSpaceDN/>
      <w:adjustRightInd/>
      <w:spacing w:before="320" w:after="320" w:line="264" w:lineRule="auto"/>
      <w:contextualSpacing/>
      <w:textAlignment w:val="auto"/>
    </w:pPr>
    <w:rPr>
      <w:rFonts w:ascii="Verdana" w:eastAsia="Verdana" w:hAnsi="Verdana"/>
      <w:b/>
      <w:iCs/>
      <w:color w:val="F75952"/>
      <w:sz w:val="54"/>
      <w:szCs w:val="24"/>
      <w:lang w:eastAsia="ja-JP"/>
    </w:rPr>
  </w:style>
  <w:style w:type="character" w:customStyle="1" w:styleId="QuoteChar">
    <w:name w:val="Quote Char"/>
    <w:basedOn w:val="DefaultParagraphFont"/>
    <w:link w:val="Quote"/>
    <w:uiPriority w:val="29"/>
    <w:rsid w:val="0083584F"/>
    <w:rPr>
      <w:rFonts w:ascii="Verdana" w:eastAsia="Verdana" w:hAnsi="Verdana"/>
      <w:b/>
      <w:iCs/>
      <w:color w:val="F75952"/>
      <w:sz w:val="54"/>
      <w:szCs w:val="24"/>
      <w:lang w:eastAsia="ja-JP"/>
    </w:rPr>
  </w:style>
  <w:style w:type="paragraph" w:styleId="Index3">
    <w:name w:val="index 3"/>
    <w:basedOn w:val="Normal"/>
    <w:next w:val="Normal"/>
    <w:autoRedefine/>
    <w:uiPriority w:val="99"/>
    <w:unhideWhenUsed/>
    <w:rsid w:val="0083584F"/>
    <w:pPr>
      <w:overflowPunct/>
      <w:autoSpaceDE/>
      <w:autoSpaceDN/>
      <w:adjustRightInd/>
      <w:spacing w:before="317" w:after="317"/>
      <w:ind w:left="720" w:hanging="245"/>
      <w:contextualSpacing/>
      <w:textAlignment w:val="auto"/>
    </w:pPr>
    <w:rPr>
      <w:rFonts w:ascii="Verdana" w:eastAsia="Verdana" w:hAnsi="Verdana"/>
      <w:b/>
      <w:color w:val="F75952"/>
      <w:sz w:val="24"/>
      <w:szCs w:val="24"/>
      <w:lang w:eastAsia="ja-JP"/>
    </w:rPr>
  </w:style>
  <w:style w:type="character" w:styleId="Emphasis">
    <w:name w:val="Emphasis"/>
    <w:uiPriority w:val="20"/>
    <w:qFormat/>
    <w:rsid w:val="0083584F"/>
    <w:rPr>
      <w:b w:val="0"/>
      <w:i w:val="0"/>
      <w:iCs/>
      <w:color w:val="F75952"/>
    </w:rPr>
  </w:style>
  <w:style w:type="paragraph" w:styleId="IntenseQuote">
    <w:name w:val="Intense Quote"/>
    <w:basedOn w:val="Normal"/>
    <w:next w:val="Normal"/>
    <w:link w:val="IntenseQuoteChar"/>
    <w:uiPriority w:val="30"/>
    <w:unhideWhenUsed/>
    <w:qFormat/>
    <w:rsid w:val="0083584F"/>
    <w:pPr>
      <w:overflowPunct/>
      <w:autoSpaceDE/>
      <w:autoSpaceDN/>
      <w:adjustRightInd/>
      <w:spacing w:before="320" w:after="320" w:line="264" w:lineRule="auto"/>
      <w:contextualSpacing/>
      <w:textAlignment w:val="auto"/>
    </w:pPr>
    <w:rPr>
      <w:rFonts w:ascii="Verdana" w:eastAsia="Verdana" w:hAnsi="Verdana"/>
      <w:b/>
      <w:i/>
      <w:iCs/>
      <w:color w:val="F75952"/>
      <w:sz w:val="54"/>
      <w:szCs w:val="24"/>
      <w:lang w:eastAsia="ja-JP"/>
    </w:rPr>
  </w:style>
  <w:style w:type="character" w:customStyle="1" w:styleId="IntenseQuoteChar">
    <w:name w:val="Intense Quote Char"/>
    <w:basedOn w:val="DefaultParagraphFont"/>
    <w:link w:val="IntenseQuote"/>
    <w:uiPriority w:val="30"/>
    <w:rsid w:val="0083584F"/>
    <w:rPr>
      <w:rFonts w:ascii="Verdana" w:eastAsia="Verdana" w:hAnsi="Verdana"/>
      <w:b/>
      <w:i/>
      <w:iCs/>
      <w:color w:val="F75952"/>
      <w:sz w:val="54"/>
      <w:szCs w:val="24"/>
      <w:lang w:eastAsia="ja-JP"/>
    </w:rPr>
  </w:style>
  <w:style w:type="paragraph" w:styleId="TOCHeading">
    <w:name w:val="TOC Heading"/>
    <w:basedOn w:val="Heading1"/>
    <w:next w:val="Normal"/>
    <w:uiPriority w:val="39"/>
    <w:qFormat/>
    <w:rsid w:val="0083584F"/>
    <w:pPr>
      <w:pBdr>
        <w:top w:val="none" w:sz="0" w:space="0" w:color="auto"/>
      </w:pBdr>
      <w:overflowPunct/>
      <w:autoSpaceDE/>
      <w:autoSpaceDN/>
      <w:adjustRightInd/>
      <w:spacing w:before="960" w:after="1320"/>
      <w:ind w:left="0" w:firstLine="0"/>
      <w:textAlignment w:val="auto"/>
      <w:outlineLvl w:val="9"/>
    </w:pPr>
    <w:rPr>
      <w:rFonts w:ascii="Verdana" w:eastAsia="Verdana" w:hAnsi="Verdana"/>
      <w:b/>
      <w:color w:val="000000"/>
      <w:szCs w:val="24"/>
      <w:lang w:val="en-US" w:eastAsia="ja-JP"/>
    </w:rPr>
  </w:style>
  <w:style w:type="character" w:styleId="IntenseEmphasis">
    <w:name w:val="Intense Emphasis"/>
    <w:uiPriority w:val="21"/>
    <w:unhideWhenUsed/>
    <w:qFormat/>
    <w:rsid w:val="0083584F"/>
    <w:rPr>
      <w:b/>
      <w:i/>
      <w:iCs/>
      <w:caps/>
      <w:smallCaps w:val="0"/>
      <w:color w:val="F75952"/>
    </w:rPr>
  </w:style>
  <w:style w:type="character" w:styleId="IntenseReference">
    <w:name w:val="Intense Reference"/>
    <w:uiPriority w:val="32"/>
    <w:unhideWhenUsed/>
    <w:qFormat/>
    <w:rsid w:val="0083584F"/>
    <w:rPr>
      <w:b/>
      <w:bCs/>
      <w:caps/>
      <w:smallCaps w:val="0"/>
      <w:color w:val="3E3E3E"/>
      <w:spacing w:val="0"/>
    </w:rPr>
  </w:style>
  <w:style w:type="character" w:styleId="Strong">
    <w:name w:val="Strong"/>
    <w:uiPriority w:val="22"/>
    <w:unhideWhenUsed/>
    <w:qFormat/>
    <w:rsid w:val="0083584F"/>
    <w:rPr>
      <w:b/>
      <w:bCs/>
      <w:color w:val="3E3E3E"/>
    </w:rPr>
  </w:style>
  <w:style w:type="character" w:styleId="SubtleEmphasis">
    <w:name w:val="Subtle Emphasis"/>
    <w:uiPriority w:val="19"/>
    <w:unhideWhenUsed/>
    <w:qFormat/>
    <w:rsid w:val="0083584F"/>
    <w:rPr>
      <w:i/>
      <w:iCs/>
      <w:color w:val="5F5F5F"/>
    </w:rPr>
  </w:style>
  <w:style w:type="character" w:styleId="SubtleReference">
    <w:name w:val="Subtle Reference"/>
    <w:uiPriority w:val="31"/>
    <w:unhideWhenUsed/>
    <w:qFormat/>
    <w:rsid w:val="0083584F"/>
    <w:rPr>
      <w:caps/>
      <w:smallCaps w:val="0"/>
      <w:color w:val="5F5F5F"/>
    </w:rPr>
  </w:style>
  <w:style w:type="character" w:styleId="BookTitle">
    <w:name w:val="Book Title"/>
    <w:uiPriority w:val="33"/>
    <w:unhideWhenUsed/>
    <w:qFormat/>
    <w:rsid w:val="0083584F"/>
    <w:rPr>
      <w:b w:val="0"/>
      <w:bCs/>
      <w:i/>
      <w:iCs/>
      <w:color w:val="3E3E3E"/>
      <w:spacing w:val="0"/>
    </w:rPr>
  </w:style>
  <w:style w:type="paragraph" w:styleId="Title">
    <w:name w:val="Title"/>
    <w:basedOn w:val="Normal"/>
    <w:next w:val="Subtitle"/>
    <w:link w:val="TitleChar"/>
    <w:uiPriority w:val="10"/>
    <w:qFormat/>
    <w:rsid w:val="0083584F"/>
    <w:pPr>
      <w:overflowPunct/>
      <w:autoSpaceDE/>
      <w:autoSpaceDN/>
      <w:adjustRightInd/>
      <w:spacing w:after="280"/>
      <w:contextualSpacing/>
      <w:textAlignment w:val="auto"/>
    </w:pPr>
    <w:rPr>
      <w:rFonts w:ascii="Verdana" w:eastAsia="MS Gothic" w:hAnsi="Verdana"/>
      <w:b/>
      <w:caps/>
      <w:color w:val="000000"/>
      <w:kern w:val="28"/>
      <w:sz w:val="48"/>
      <w:szCs w:val="56"/>
      <w:lang w:eastAsia="ja-JP"/>
    </w:rPr>
  </w:style>
  <w:style w:type="paragraph" w:styleId="Subtitle">
    <w:name w:val="Subtitle"/>
    <w:basedOn w:val="Normal"/>
    <w:next w:val="Author"/>
    <w:link w:val="SubtitleChar"/>
    <w:uiPriority w:val="11"/>
    <w:qFormat/>
    <w:rsid w:val="0083584F"/>
    <w:pPr>
      <w:numPr>
        <w:ilvl w:val="1"/>
      </w:numPr>
      <w:overflowPunct/>
      <w:autoSpaceDE/>
      <w:autoSpaceDN/>
      <w:adjustRightInd/>
      <w:spacing w:before="120" w:after="0"/>
      <w:textAlignment w:val="auto"/>
    </w:pPr>
    <w:rPr>
      <w:rFonts w:ascii="Verdana" w:eastAsia="MS Gothic" w:hAnsi="Verdana"/>
      <w:b/>
      <w:i/>
      <w:color w:val="3E3E3E"/>
      <w:sz w:val="28"/>
      <w:szCs w:val="22"/>
      <w:lang w:eastAsia="ja-JP"/>
    </w:rPr>
  </w:style>
  <w:style w:type="paragraph" w:customStyle="1" w:styleId="Author">
    <w:name w:val="Author"/>
    <w:basedOn w:val="Normal"/>
    <w:uiPriority w:val="3"/>
    <w:qFormat/>
    <w:rsid w:val="0083584F"/>
    <w:pPr>
      <w:overflowPunct/>
      <w:autoSpaceDE/>
      <w:autoSpaceDN/>
      <w:adjustRightInd/>
      <w:spacing w:after="0" w:line="312" w:lineRule="auto"/>
      <w:textAlignment w:val="auto"/>
    </w:pPr>
    <w:rPr>
      <w:rFonts w:ascii="Verdana" w:eastAsia="Verdana" w:hAnsi="Verdana"/>
      <w:b/>
      <w:color w:val="2A2A2A"/>
      <w:sz w:val="30"/>
      <w:szCs w:val="24"/>
      <w:lang w:eastAsia="ja-JP"/>
    </w:rPr>
  </w:style>
  <w:style w:type="character" w:customStyle="1" w:styleId="SubtitleChar">
    <w:name w:val="Subtitle Char"/>
    <w:basedOn w:val="DefaultParagraphFont"/>
    <w:link w:val="Subtitle"/>
    <w:uiPriority w:val="11"/>
    <w:rsid w:val="0083584F"/>
    <w:rPr>
      <w:rFonts w:ascii="Verdana" w:eastAsia="MS Gothic" w:hAnsi="Verdana"/>
      <w:b/>
      <w:i/>
      <w:color w:val="3E3E3E"/>
      <w:sz w:val="28"/>
      <w:szCs w:val="22"/>
      <w:lang w:eastAsia="ja-JP"/>
    </w:rPr>
  </w:style>
  <w:style w:type="character" w:customStyle="1" w:styleId="TitleChar">
    <w:name w:val="Title Char"/>
    <w:basedOn w:val="DefaultParagraphFont"/>
    <w:link w:val="Title"/>
    <w:uiPriority w:val="10"/>
    <w:rsid w:val="0083584F"/>
    <w:rPr>
      <w:rFonts w:ascii="Verdana" w:eastAsia="MS Gothic" w:hAnsi="Verdana"/>
      <w:b/>
      <w:caps/>
      <w:color w:val="000000"/>
      <w:kern w:val="28"/>
      <w:sz w:val="48"/>
      <w:szCs w:val="56"/>
      <w:lang w:eastAsia="ja-JP"/>
    </w:rPr>
  </w:style>
  <w:style w:type="character" w:styleId="PageNumber">
    <w:name w:val="page number"/>
    <w:uiPriority w:val="99"/>
    <w:unhideWhenUsed/>
    <w:rsid w:val="0083584F"/>
  </w:style>
  <w:style w:type="paragraph" w:customStyle="1" w:styleId="Legalheading">
    <w:name w:val="Legal heading"/>
    <w:basedOn w:val="Heading2"/>
    <w:qFormat/>
    <w:rsid w:val="0083584F"/>
    <w:pPr>
      <w:keepNext w:val="0"/>
      <w:keepLines w:val="0"/>
      <w:numPr>
        <w:numId w:val="0"/>
      </w:numPr>
      <w:tabs>
        <w:tab w:val="clear" w:pos="567"/>
      </w:tabs>
      <w:overflowPunct/>
      <w:autoSpaceDE/>
      <w:autoSpaceDN/>
      <w:adjustRightInd/>
      <w:spacing w:before="240" w:after="120"/>
      <w:textAlignment w:val="auto"/>
    </w:pPr>
    <w:rPr>
      <w:rFonts w:ascii="Verdana" w:eastAsia="MS Gothic" w:hAnsi="Verdana"/>
      <w:b/>
      <w:color w:val="000000"/>
      <w:sz w:val="22"/>
      <w:szCs w:val="26"/>
      <w:lang w:eastAsia="ja-JP"/>
    </w:rPr>
  </w:style>
  <w:style w:type="paragraph" w:customStyle="1" w:styleId="Cellhead">
    <w:name w:val="Cell head"/>
    <w:basedOn w:val="Normal"/>
    <w:qFormat/>
    <w:rsid w:val="0083584F"/>
    <w:pPr>
      <w:overflowPunct/>
      <w:autoSpaceDE/>
      <w:autoSpaceDN/>
      <w:adjustRightInd/>
      <w:spacing w:after="0"/>
      <w:textAlignment w:val="auto"/>
    </w:pPr>
    <w:rPr>
      <w:rFonts w:ascii="Verdana" w:hAnsi="Verdana"/>
      <w:b/>
      <w:bCs/>
      <w:szCs w:val="22"/>
    </w:rPr>
  </w:style>
  <w:style w:type="paragraph" w:customStyle="1" w:styleId="Cellbody">
    <w:name w:val="Cell body"/>
    <w:basedOn w:val="Normal"/>
    <w:qFormat/>
    <w:rsid w:val="0083584F"/>
    <w:pPr>
      <w:overflowPunct/>
      <w:autoSpaceDE/>
      <w:autoSpaceDN/>
      <w:adjustRightInd/>
      <w:spacing w:before="80" w:after="40"/>
      <w:textAlignment w:val="auto"/>
    </w:pPr>
    <w:rPr>
      <w:rFonts w:ascii="Verdana" w:hAnsi="Verdana"/>
      <w:szCs w:val="24"/>
    </w:rPr>
  </w:style>
  <w:style w:type="paragraph" w:customStyle="1" w:styleId="Legaltext">
    <w:name w:val="Legal text"/>
    <w:basedOn w:val="Normal"/>
    <w:qFormat/>
    <w:rsid w:val="0083584F"/>
    <w:pPr>
      <w:overflowPunct/>
      <w:autoSpaceDE/>
      <w:autoSpaceDN/>
      <w:adjustRightInd/>
      <w:spacing w:before="120" w:after="120"/>
      <w:ind w:left="864"/>
      <w:contextualSpacing/>
      <w:textAlignment w:val="auto"/>
    </w:pPr>
    <w:rPr>
      <w:rFonts w:ascii="Verdana" w:eastAsia="Verdana" w:hAnsi="Verdana"/>
      <w:color w:val="000000"/>
      <w:sz w:val="18"/>
      <w:szCs w:val="22"/>
      <w:lang w:eastAsia="ja-JP"/>
    </w:rPr>
  </w:style>
  <w:style w:type="paragraph" w:customStyle="1" w:styleId="Tableheading">
    <w:name w:val="Table heading"/>
    <w:basedOn w:val="Normal"/>
    <w:next w:val="BodyText"/>
    <w:uiPriority w:val="1"/>
    <w:qFormat/>
    <w:rsid w:val="0083584F"/>
    <w:pPr>
      <w:widowControl w:val="0"/>
      <w:numPr>
        <w:numId w:val="4"/>
      </w:numPr>
      <w:overflowPunct/>
      <w:autoSpaceDE/>
      <w:autoSpaceDN/>
      <w:adjustRightInd/>
      <w:spacing w:before="120" w:after="0"/>
      <w:ind w:left="1800"/>
      <w:textAlignment w:val="auto"/>
    </w:pPr>
    <w:rPr>
      <w:rFonts w:ascii="Verdana" w:eastAsia="Verdana" w:hAnsi="Verdana"/>
      <w:b/>
      <w:color w:val="000000"/>
      <w:sz w:val="22"/>
      <w:szCs w:val="22"/>
      <w:lang w:eastAsia="ja-JP"/>
    </w:rPr>
  </w:style>
  <w:style w:type="paragraph" w:styleId="NoSpacing">
    <w:name w:val="No Spacing"/>
    <w:link w:val="NoSpacingChar"/>
    <w:uiPriority w:val="1"/>
    <w:qFormat/>
    <w:rsid w:val="0083584F"/>
    <w:pPr>
      <w:jc w:val="center"/>
    </w:pPr>
    <w:rPr>
      <w:rFonts w:ascii="Verdana" w:eastAsia="MS Gothic" w:hAnsi="Verdana"/>
      <w:sz w:val="10"/>
      <w:szCs w:val="22"/>
      <w:lang w:eastAsia="zh-CN"/>
    </w:rPr>
  </w:style>
  <w:style w:type="character" w:customStyle="1" w:styleId="NoSpacingChar">
    <w:name w:val="No Spacing Char"/>
    <w:link w:val="NoSpacing"/>
    <w:uiPriority w:val="1"/>
    <w:rsid w:val="0083584F"/>
    <w:rPr>
      <w:rFonts w:ascii="Verdana" w:eastAsia="MS Gothic" w:hAnsi="Verdana"/>
      <w:sz w:val="10"/>
      <w:szCs w:val="22"/>
      <w:lang w:eastAsia="zh-CN"/>
    </w:rPr>
  </w:style>
  <w:style w:type="paragraph" w:customStyle="1" w:styleId="Figures">
    <w:name w:val="Figures"/>
    <w:basedOn w:val="List"/>
    <w:next w:val="BodyText"/>
    <w:qFormat/>
    <w:rsid w:val="0083584F"/>
    <w:pPr>
      <w:numPr>
        <w:numId w:val="5"/>
      </w:numPr>
      <w:ind w:left="568" w:hanging="284"/>
    </w:pPr>
  </w:style>
  <w:style w:type="paragraph" w:styleId="Date">
    <w:name w:val="Date"/>
    <w:basedOn w:val="Normal"/>
    <w:next w:val="Title"/>
    <w:link w:val="DateChar"/>
    <w:uiPriority w:val="99"/>
    <w:qFormat/>
    <w:rsid w:val="0083584F"/>
    <w:pPr>
      <w:overflowPunct/>
      <w:autoSpaceDE/>
      <w:autoSpaceDN/>
      <w:adjustRightInd/>
      <w:spacing w:before="120" w:after="120"/>
      <w:jc w:val="right"/>
      <w:textAlignment w:val="auto"/>
    </w:pPr>
    <w:rPr>
      <w:rFonts w:ascii="Verdana" w:eastAsia="Verdana" w:hAnsi="Verdana"/>
      <w:color w:val="000000"/>
      <w:sz w:val="24"/>
      <w:szCs w:val="22"/>
      <w:lang w:eastAsia="ja-JP"/>
    </w:rPr>
  </w:style>
  <w:style w:type="character" w:customStyle="1" w:styleId="DateChar">
    <w:name w:val="Date Char"/>
    <w:basedOn w:val="DefaultParagraphFont"/>
    <w:link w:val="Date"/>
    <w:uiPriority w:val="99"/>
    <w:rsid w:val="0083584F"/>
    <w:rPr>
      <w:rFonts w:ascii="Verdana" w:eastAsia="Verdana" w:hAnsi="Verdana"/>
      <w:color w:val="000000"/>
      <w:sz w:val="24"/>
      <w:szCs w:val="22"/>
      <w:lang w:eastAsia="ja-JP"/>
    </w:rPr>
  </w:style>
  <w:style w:type="paragraph" w:customStyle="1" w:styleId="Bottomtitle">
    <w:name w:val="Bottom title"/>
    <w:basedOn w:val="Normal"/>
    <w:next w:val="BodyText"/>
    <w:qFormat/>
    <w:rsid w:val="0083584F"/>
    <w:pPr>
      <w:widowControl w:val="0"/>
      <w:overflowPunct/>
      <w:autoSpaceDE/>
      <w:autoSpaceDN/>
      <w:adjustRightInd/>
      <w:spacing w:before="120" w:after="120"/>
      <w:ind w:left="864"/>
      <w:contextualSpacing/>
      <w:textAlignment w:val="auto"/>
    </w:pPr>
    <w:rPr>
      <w:rFonts w:ascii="Verdana" w:eastAsia="MS Gothic" w:hAnsi="Verdana"/>
      <w:b/>
      <w:bCs/>
      <w:i/>
      <w:iCs/>
      <w:color w:val="000000"/>
      <w:kern w:val="28"/>
      <w:sz w:val="28"/>
      <w:szCs w:val="32"/>
      <w:lang w:eastAsia="ja-JP"/>
    </w:rPr>
  </w:style>
  <w:style w:type="paragraph" w:customStyle="1" w:styleId="Toptitle">
    <w:name w:val="Top title"/>
    <w:basedOn w:val="Normal"/>
    <w:next w:val="BodyText"/>
    <w:uiPriority w:val="1"/>
    <w:qFormat/>
    <w:rsid w:val="0083584F"/>
    <w:pPr>
      <w:widowControl w:val="0"/>
      <w:overflowPunct/>
      <w:autoSpaceDE/>
      <w:autoSpaceDN/>
      <w:adjustRightInd/>
      <w:spacing w:after="0"/>
      <w:contextualSpacing/>
      <w:jc w:val="right"/>
      <w:textAlignment w:val="auto"/>
    </w:pPr>
    <w:rPr>
      <w:rFonts w:ascii="Verdana" w:eastAsia="MS Gothic" w:hAnsi="Verdana"/>
      <w:b/>
      <w:bCs/>
      <w:i/>
      <w:iCs/>
      <w:color w:val="000000"/>
      <w:kern w:val="28"/>
      <w:sz w:val="32"/>
      <w:szCs w:val="32"/>
      <w:lang w:eastAsia="ja-JP"/>
    </w:rPr>
  </w:style>
  <w:style w:type="paragraph" w:styleId="NormalWeb">
    <w:name w:val="Normal (Web)"/>
    <w:basedOn w:val="Normal"/>
    <w:uiPriority w:val="99"/>
    <w:unhideWhenUsed/>
    <w:rsid w:val="0083584F"/>
    <w:pPr>
      <w:overflowPunct/>
      <w:autoSpaceDE/>
      <w:autoSpaceDN/>
      <w:adjustRightInd/>
      <w:spacing w:before="100" w:beforeAutospacing="1" w:after="100" w:afterAutospacing="1"/>
      <w:textAlignment w:val="auto"/>
    </w:pPr>
    <w:rPr>
      <w:rFonts w:eastAsia="MS Gothic"/>
      <w:sz w:val="24"/>
      <w:szCs w:val="24"/>
    </w:rPr>
  </w:style>
  <w:style w:type="paragraph" w:styleId="Bibliography">
    <w:name w:val="Bibliography"/>
    <w:basedOn w:val="Normal"/>
    <w:next w:val="Normal"/>
    <w:uiPriority w:val="37"/>
    <w:unhideWhenUsed/>
    <w:rsid w:val="0083584F"/>
    <w:pPr>
      <w:overflowPunct/>
      <w:autoSpaceDE/>
      <w:autoSpaceDN/>
      <w:adjustRightInd/>
      <w:spacing w:after="200" w:line="312" w:lineRule="auto"/>
      <w:textAlignment w:val="auto"/>
    </w:pPr>
    <w:rPr>
      <w:rFonts w:ascii="Verdana" w:eastAsia="Verdana" w:hAnsi="Verdana"/>
      <w:color w:val="5F5F5F"/>
      <w:sz w:val="24"/>
      <w:szCs w:val="24"/>
      <w:lang w:eastAsia="ja-JP"/>
    </w:rPr>
  </w:style>
  <w:style w:type="paragraph" w:styleId="EndnoteText">
    <w:name w:val="endnote text"/>
    <w:basedOn w:val="Normal"/>
    <w:link w:val="EndnoteTextChar"/>
    <w:uiPriority w:val="99"/>
    <w:unhideWhenUsed/>
    <w:rsid w:val="0083584F"/>
    <w:pPr>
      <w:overflowPunct/>
      <w:autoSpaceDE/>
      <w:autoSpaceDN/>
      <w:adjustRightInd/>
      <w:spacing w:after="0"/>
      <w:textAlignment w:val="auto"/>
    </w:pPr>
    <w:rPr>
      <w:rFonts w:ascii="Verdana" w:eastAsia="Verdana" w:hAnsi="Verdana"/>
      <w:color w:val="5F5F5F"/>
      <w:lang w:eastAsia="ja-JP"/>
    </w:rPr>
  </w:style>
  <w:style w:type="character" w:customStyle="1" w:styleId="EndnoteTextChar">
    <w:name w:val="Endnote Text Char"/>
    <w:basedOn w:val="DefaultParagraphFont"/>
    <w:link w:val="EndnoteText"/>
    <w:uiPriority w:val="99"/>
    <w:rsid w:val="0083584F"/>
    <w:rPr>
      <w:rFonts w:ascii="Verdana" w:eastAsia="Verdana" w:hAnsi="Verdana"/>
      <w:color w:val="5F5F5F"/>
      <w:lang w:eastAsia="ja-JP"/>
    </w:rPr>
  </w:style>
  <w:style w:type="character" w:styleId="EndnoteReference">
    <w:name w:val="endnote reference"/>
    <w:uiPriority w:val="99"/>
    <w:unhideWhenUsed/>
    <w:rsid w:val="0083584F"/>
    <w:rPr>
      <w:vertAlign w:val="superscript"/>
    </w:rPr>
  </w:style>
  <w:style w:type="table" w:styleId="GridTable4-Accent2">
    <w:name w:val="Grid Table 4 Accent 2"/>
    <w:basedOn w:val="TableNormal"/>
    <w:uiPriority w:val="49"/>
    <w:rsid w:val="0083584F"/>
    <w:rPr>
      <w:rFonts w:ascii="Verdana" w:eastAsia="Verdana" w:hAnsi="Verdana"/>
      <w:color w:val="5F5F5F"/>
      <w:sz w:val="24"/>
      <w:szCs w:val="24"/>
      <w:lang w:eastAsia="ja-JP"/>
    </w:rPr>
    <w:tblPr>
      <w:tblStyleRowBandSize w:val="1"/>
      <w:tblStyleColBandSize w:val="1"/>
      <w:tblInd w:w="0" w:type="dxa"/>
      <w:tblBorders>
        <w:top w:val="single" w:sz="4" w:space="0" w:color="A5DDDE"/>
        <w:left w:val="single" w:sz="4" w:space="0" w:color="A5DDDE"/>
        <w:bottom w:val="single" w:sz="4" w:space="0" w:color="A5DDDE"/>
        <w:right w:val="single" w:sz="4" w:space="0" w:color="A5DDDE"/>
        <w:insideH w:val="single" w:sz="4" w:space="0" w:color="A5DDDE"/>
        <w:insideV w:val="single" w:sz="4" w:space="0" w:color="A5DDDE"/>
      </w:tblBorders>
      <w:tblCellMar>
        <w:top w:w="0" w:type="dxa"/>
        <w:left w:w="108" w:type="dxa"/>
        <w:bottom w:w="0" w:type="dxa"/>
        <w:right w:w="108" w:type="dxa"/>
      </w:tblCellMar>
    </w:tblPr>
    <w:tblStylePr w:type="firstRow">
      <w:rPr>
        <w:b/>
        <w:bCs/>
        <w:color w:val="FFFFFF"/>
      </w:rPr>
      <w:tblPr/>
      <w:tcPr>
        <w:tcBorders>
          <w:top w:val="single" w:sz="4" w:space="0" w:color="6AC7C9"/>
          <w:left w:val="single" w:sz="4" w:space="0" w:color="6AC7C9"/>
          <w:bottom w:val="single" w:sz="4" w:space="0" w:color="6AC7C9"/>
          <w:right w:val="single" w:sz="4" w:space="0" w:color="6AC7C9"/>
          <w:insideH w:val="nil"/>
          <w:insideV w:val="nil"/>
        </w:tcBorders>
        <w:shd w:val="clear" w:color="auto" w:fill="6AC7C9"/>
      </w:tcPr>
    </w:tblStylePr>
    <w:tblStylePr w:type="lastRow">
      <w:rPr>
        <w:b/>
        <w:bCs/>
      </w:rPr>
      <w:tblPr/>
      <w:tcPr>
        <w:tcBorders>
          <w:top w:val="double" w:sz="4" w:space="0" w:color="6AC7C9"/>
        </w:tcBorders>
      </w:tcPr>
    </w:tblStylePr>
    <w:tblStylePr w:type="firstCol">
      <w:rPr>
        <w:b/>
        <w:bCs/>
      </w:rPr>
    </w:tblStylePr>
    <w:tblStylePr w:type="lastCol">
      <w:rPr>
        <w:b/>
        <w:bCs/>
      </w:rPr>
    </w:tblStylePr>
    <w:tblStylePr w:type="band1Vert">
      <w:tblPr/>
      <w:tcPr>
        <w:shd w:val="clear" w:color="auto" w:fill="E1F3F4"/>
      </w:tcPr>
    </w:tblStylePr>
    <w:tblStylePr w:type="band1Horz">
      <w:tblPr/>
      <w:tcPr>
        <w:shd w:val="clear" w:color="auto" w:fill="E1F3F4"/>
      </w:tcPr>
    </w:tblStylePr>
  </w:style>
  <w:style w:type="character" w:styleId="PlaceholderText">
    <w:name w:val="Placeholder Text"/>
    <w:basedOn w:val="DefaultParagraphFont"/>
    <w:uiPriority w:val="99"/>
    <w:semiHidden/>
    <w:rsid w:val="0015672D"/>
    <w:rPr>
      <w:color w:val="808080"/>
    </w:rPr>
  </w:style>
  <w:style w:type="table" w:styleId="GridTable5Dark-Accent5">
    <w:name w:val="Grid Table 5 Dark Accent 5"/>
    <w:basedOn w:val="TableNormal"/>
    <w:uiPriority w:val="50"/>
    <w:rsid w:val="00D11C40"/>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86777137">
      <w:bodyDiv w:val="1"/>
      <w:marLeft w:val="0"/>
      <w:marRight w:val="0"/>
      <w:marTop w:val="0"/>
      <w:marBottom w:val="0"/>
      <w:divBdr>
        <w:top w:val="none" w:sz="0" w:space="0" w:color="auto"/>
        <w:left w:val="none" w:sz="0" w:space="0" w:color="auto"/>
        <w:bottom w:val="none" w:sz="0" w:space="0" w:color="auto"/>
        <w:right w:val="none" w:sz="0" w:space="0" w:color="auto"/>
      </w:divBdr>
    </w:div>
    <w:div w:id="141048611">
      <w:bodyDiv w:val="1"/>
      <w:marLeft w:val="0"/>
      <w:marRight w:val="0"/>
      <w:marTop w:val="0"/>
      <w:marBottom w:val="0"/>
      <w:divBdr>
        <w:top w:val="none" w:sz="0" w:space="0" w:color="auto"/>
        <w:left w:val="none" w:sz="0" w:space="0" w:color="auto"/>
        <w:bottom w:val="none" w:sz="0" w:space="0" w:color="auto"/>
        <w:right w:val="none" w:sz="0" w:space="0" w:color="auto"/>
      </w:divBdr>
    </w:div>
    <w:div w:id="253631888">
      <w:bodyDiv w:val="1"/>
      <w:marLeft w:val="0"/>
      <w:marRight w:val="0"/>
      <w:marTop w:val="0"/>
      <w:marBottom w:val="0"/>
      <w:divBdr>
        <w:top w:val="none" w:sz="0" w:space="0" w:color="auto"/>
        <w:left w:val="none" w:sz="0" w:space="0" w:color="auto"/>
        <w:bottom w:val="none" w:sz="0" w:space="0" w:color="auto"/>
        <w:right w:val="none" w:sz="0" w:space="0" w:color="auto"/>
      </w:divBdr>
    </w:div>
    <w:div w:id="381902129">
      <w:bodyDiv w:val="1"/>
      <w:marLeft w:val="0"/>
      <w:marRight w:val="0"/>
      <w:marTop w:val="0"/>
      <w:marBottom w:val="0"/>
      <w:divBdr>
        <w:top w:val="none" w:sz="0" w:space="0" w:color="auto"/>
        <w:left w:val="none" w:sz="0" w:space="0" w:color="auto"/>
        <w:bottom w:val="none" w:sz="0" w:space="0" w:color="auto"/>
        <w:right w:val="none" w:sz="0" w:space="0" w:color="auto"/>
      </w:divBdr>
    </w:div>
    <w:div w:id="442849289">
      <w:bodyDiv w:val="1"/>
      <w:marLeft w:val="0"/>
      <w:marRight w:val="0"/>
      <w:marTop w:val="0"/>
      <w:marBottom w:val="0"/>
      <w:divBdr>
        <w:top w:val="none" w:sz="0" w:space="0" w:color="auto"/>
        <w:left w:val="none" w:sz="0" w:space="0" w:color="auto"/>
        <w:bottom w:val="none" w:sz="0" w:space="0" w:color="auto"/>
        <w:right w:val="none" w:sz="0" w:space="0" w:color="auto"/>
      </w:divBdr>
    </w:div>
    <w:div w:id="472646564">
      <w:bodyDiv w:val="1"/>
      <w:marLeft w:val="0"/>
      <w:marRight w:val="0"/>
      <w:marTop w:val="0"/>
      <w:marBottom w:val="0"/>
      <w:divBdr>
        <w:top w:val="none" w:sz="0" w:space="0" w:color="auto"/>
        <w:left w:val="none" w:sz="0" w:space="0" w:color="auto"/>
        <w:bottom w:val="none" w:sz="0" w:space="0" w:color="auto"/>
        <w:right w:val="none" w:sz="0" w:space="0" w:color="auto"/>
      </w:divBdr>
      <w:divsChild>
        <w:div w:id="583884270">
          <w:marLeft w:val="360"/>
          <w:marRight w:val="0"/>
          <w:marTop w:val="80"/>
          <w:marBottom w:val="240"/>
          <w:divBdr>
            <w:top w:val="none" w:sz="0" w:space="0" w:color="auto"/>
            <w:left w:val="none" w:sz="0" w:space="0" w:color="auto"/>
            <w:bottom w:val="none" w:sz="0" w:space="0" w:color="auto"/>
            <w:right w:val="none" w:sz="0" w:space="0" w:color="auto"/>
          </w:divBdr>
        </w:div>
        <w:div w:id="1232696532">
          <w:marLeft w:val="360"/>
          <w:marRight w:val="0"/>
          <w:marTop w:val="80"/>
          <w:marBottom w:val="240"/>
          <w:divBdr>
            <w:top w:val="none" w:sz="0" w:space="0" w:color="auto"/>
            <w:left w:val="none" w:sz="0" w:space="0" w:color="auto"/>
            <w:bottom w:val="none" w:sz="0" w:space="0" w:color="auto"/>
            <w:right w:val="none" w:sz="0" w:space="0" w:color="auto"/>
          </w:divBdr>
        </w:div>
      </w:divsChild>
    </w:div>
    <w:div w:id="477497893">
      <w:bodyDiv w:val="1"/>
      <w:marLeft w:val="0"/>
      <w:marRight w:val="0"/>
      <w:marTop w:val="0"/>
      <w:marBottom w:val="0"/>
      <w:divBdr>
        <w:top w:val="none" w:sz="0" w:space="0" w:color="auto"/>
        <w:left w:val="none" w:sz="0" w:space="0" w:color="auto"/>
        <w:bottom w:val="none" w:sz="0" w:space="0" w:color="auto"/>
        <w:right w:val="none" w:sz="0" w:space="0" w:color="auto"/>
      </w:divBdr>
    </w:div>
    <w:div w:id="661811377">
      <w:bodyDiv w:val="1"/>
      <w:marLeft w:val="0"/>
      <w:marRight w:val="0"/>
      <w:marTop w:val="0"/>
      <w:marBottom w:val="0"/>
      <w:divBdr>
        <w:top w:val="none" w:sz="0" w:space="0" w:color="auto"/>
        <w:left w:val="none" w:sz="0" w:space="0" w:color="auto"/>
        <w:bottom w:val="none" w:sz="0" w:space="0" w:color="auto"/>
        <w:right w:val="none" w:sz="0" w:space="0" w:color="auto"/>
      </w:divBdr>
      <w:divsChild>
        <w:div w:id="1086151108">
          <w:marLeft w:val="360"/>
          <w:marRight w:val="0"/>
          <w:marTop w:val="80"/>
          <w:marBottom w:val="240"/>
          <w:divBdr>
            <w:top w:val="none" w:sz="0" w:space="0" w:color="auto"/>
            <w:left w:val="none" w:sz="0" w:space="0" w:color="auto"/>
            <w:bottom w:val="none" w:sz="0" w:space="0" w:color="auto"/>
            <w:right w:val="none" w:sz="0" w:space="0" w:color="auto"/>
          </w:divBdr>
        </w:div>
        <w:div w:id="1619871685">
          <w:marLeft w:val="893"/>
          <w:marRight w:val="0"/>
          <w:marTop w:val="0"/>
          <w:marBottom w:val="240"/>
          <w:divBdr>
            <w:top w:val="none" w:sz="0" w:space="0" w:color="auto"/>
            <w:left w:val="none" w:sz="0" w:space="0" w:color="auto"/>
            <w:bottom w:val="none" w:sz="0" w:space="0" w:color="auto"/>
            <w:right w:val="none" w:sz="0" w:space="0" w:color="auto"/>
          </w:divBdr>
        </w:div>
        <w:div w:id="2138139916">
          <w:marLeft w:val="893"/>
          <w:marRight w:val="0"/>
          <w:marTop w:val="0"/>
          <w:marBottom w:val="240"/>
          <w:divBdr>
            <w:top w:val="none" w:sz="0" w:space="0" w:color="auto"/>
            <w:left w:val="none" w:sz="0" w:space="0" w:color="auto"/>
            <w:bottom w:val="none" w:sz="0" w:space="0" w:color="auto"/>
            <w:right w:val="none" w:sz="0" w:space="0" w:color="auto"/>
          </w:divBdr>
        </w:div>
        <w:div w:id="1276255879">
          <w:marLeft w:val="893"/>
          <w:marRight w:val="0"/>
          <w:marTop w:val="0"/>
          <w:marBottom w:val="240"/>
          <w:divBdr>
            <w:top w:val="none" w:sz="0" w:space="0" w:color="auto"/>
            <w:left w:val="none" w:sz="0" w:space="0" w:color="auto"/>
            <w:bottom w:val="none" w:sz="0" w:space="0" w:color="auto"/>
            <w:right w:val="none" w:sz="0" w:space="0" w:color="auto"/>
          </w:divBdr>
        </w:div>
        <w:div w:id="916788780">
          <w:marLeft w:val="893"/>
          <w:marRight w:val="0"/>
          <w:marTop w:val="0"/>
          <w:marBottom w:val="240"/>
          <w:divBdr>
            <w:top w:val="none" w:sz="0" w:space="0" w:color="auto"/>
            <w:left w:val="none" w:sz="0" w:space="0" w:color="auto"/>
            <w:bottom w:val="none" w:sz="0" w:space="0" w:color="auto"/>
            <w:right w:val="none" w:sz="0" w:space="0" w:color="auto"/>
          </w:divBdr>
        </w:div>
        <w:div w:id="264701903">
          <w:marLeft w:val="360"/>
          <w:marRight w:val="0"/>
          <w:marTop w:val="80"/>
          <w:marBottom w:val="240"/>
          <w:divBdr>
            <w:top w:val="none" w:sz="0" w:space="0" w:color="auto"/>
            <w:left w:val="none" w:sz="0" w:space="0" w:color="auto"/>
            <w:bottom w:val="none" w:sz="0" w:space="0" w:color="auto"/>
            <w:right w:val="none" w:sz="0" w:space="0" w:color="auto"/>
          </w:divBdr>
        </w:div>
      </w:divsChild>
    </w:div>
    <w:div w:id="927885673">
      <w:bodyDiv w:val="1"/>
      <w:marLeft w:val="0"/>
      <w:marRight w:val="0"/>
      <w:marTop w:val="0"/>
      <w:marBottom w:val="0"/>
      <w:divBdr>
        <w:top w:val="none" w:sz="0" w:space="0" w:color="auto"/>
        <w:left w:val="none" w:sz="0" w:space="0" w:color="auto"/>
        <w:bottom w:val="none" w:sz="0" w:space="0" w:color="auto"/>
        <w:right w:val="none" w:sz="0" w:space="0" w:color="auto"/>
      </w:divBdr>
    </w:div>
    <w:div w:id="1003167209">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330250062">
      <w:bodyDiv w:val="1"/>
      <w:marLeft w:val="0"/>
      <w:marRight w:val="0"/>
      <w:marTop w:val="0"/>
      <w:marBottom w:val="0"/>
      <w:divBdr>
        <w:top w:val="none" w:sz="0" w:space="0" w:color="auto"/>
        <w:left w:val="none" w:sz="0" w:space="0" w:color="auto"/>
        <w:bottom w:val="none" w:sz="0" w:space="0" w:color="auto"/>
        <w:right w:val="none" w:sz="0" w:space="0" w:color="auto"/>
      </w:divBdr>
    </w:div>
    <w:div w:id="1357190351">
      <w:bodyDiv w:val="1"/>
      <w:marLeft w:val="0"/>
      <w:marRight w:val="0"/>
      <w:marTop w:val="0"/>
      <w:marBottom w:val="0"/>
      <w:divBdr>
        <w:top w:val="none" w:sz="0" w:space="0" w:color="auto"/>
        <w:left w:val="none" w:sz="0" w:space="0" w:color="auto"/>
        <w:bottom w:val="none" w:sz="0" w:space="0" w:color="auto"/>
        <w:right w:val="none" w:sz="0" w:space="0" w:color="auto"/>
      </w:divBdr>
      <w:divsChild>
        <w:div w:id="112479359">
          <w:marLeft w:val="360"/>
          <w:marRight w:val="0"/>
          <w:marTop w:val="80"/>
          <w:marBottom w:val="240"/>
          <w:divBdr>
            <w:top w:val="none" w:sz="0" w:space="0" w:color="auto"/>
            <w:left w:val="none" w:sz="0" w:space="0" w:color="auto"/>
            <w:bottom w:val="none" w:sz="0" w:space="0" w:color="auto"/>
            <w:right w:val="none" w:sz="0" w:space="0" w:color="auto"/>
          </w:divBdr>
        </w:div>
        <w:div w:id="1066680124">
          <w:marLeft w:val="893"/>
          <w:marRight w:val="0"/>
          <w:marTop w:val="0"/>
          <w:marBottom w:val="240"/>
          <w:divBdr>
            <w:top w:val="none" w:sz="0" w:space="0" w:color="auto"/>
            <w:left w:val="none" w:sz="0" w:space="0" w:color="auto"/>
            <w:bottom w:val="none" w:sz="0" w:space="0" w:color="auto"/>
            <w:right w:val="none" w:sz="0" w:space="0" w:color="auto"/>
          </w:divBdr>
        </w:div>
        <w:div w:id="130446616">
          <w:marLeft w:val="360"/>
          <w:marRight w:val="0"/>
          <w:marTop w:val="80"/>
          <w:marBottom w:val="240"/>
          <w:divBdr>
            <w:top w:val="none" w:sz="0" w:space="0" w:color="auto"/>
            <w:left w:val="none" w:sz="0" w:space="0" w:color="auto"/>
            <w:bottom w:val="none" w:sz="0" w:space="0" w:color="auto"/>
            <w:right w:val="none" w:sz="0" w:space="0" w:color="auto"/>
          </w:divBdr>
        </w:div>
        <w:div w:id="590361519">
          <w:marLeft w:val="893"/>
          <w:marRight w:val="0"/>
          <w:marTop w:val="0"/>
          <w:marBottom w:val="240"/>
          <w:divBdr>
            <w:top w:val="none" w:sz="0" w:space="0" w:color="auto"/>
            <w:left w:val="none" w:sz="0" w:space="0" w:color="auto"/>
            <w:bottom w:val="none" w:sz="0" w:space="0" w:color="auto"/>
            <w:right w:val="none" w:sz="0" w:space="0" w:color="auto"/>
          </w:divBdr>
        </w:div>
      </w:divsChild>
    </w:div>
    <w:div w:id="1371758665">
      <w:bodyDiv w:val="1"/>
      <w:marLeft w:val="0"/>
      <w:marRight w:val="0"/>
      <w:marTop w:val="0"/>
      <w:marBottom w:val="0"/>
      <w:divBdr>
        <w:top w:val="none" w:sz="0" w:space="0" w:color="auto"/>
        <w:left w:val="none" w:sz="0" w:space="0" w:color="auto"/>
        <w:bottom w:val="none" w:sz="0" w:space="0" w:color="auto"/>
        <w:right w:val="none" w:sz="0" w:space="0" w:color="auto"/>
      </w:divBdr>
    </w:div>
    <w:div w:id="1499539302">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74623399">
      <w:bodyDiv w:val="1"/>
      <w:marLeft w:val="0"/>
      <w:marRight w:val="0"/>
      <w:marTop w:val="0"/>
      <w:marBottom w:val="0"/>
      <w:divBdr>
        <w:top w:val="none" w:sz="0" w:space="0" w:color="auto"/>
        <w:left w:val="none" w:sz="0" w:space="0" w:color="auto"/>
        <w:bottom w:val="none" w:sz="0" w:space="0" w:color="auto"/>
        <w:right w:val="none" w:sz="0" w:space="0" w:color="auto"/>
      </w:divBdr>
    </w:div>
    <w:div w:id="212777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image" Target="media/image2.emf"/><Relationship Id="rId14" Type="http://schemas.openxmlformats.org/officeDocument/2006/relationships/image" Target="media/image3.emf"/><Relationship Id="rId15" Type="http://schemas.openxmlformats.org/officeDocument/2006/relationships/image" Target="media/image4.emf"/><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460479F98CC64993FB7E553EA54DB8" ma:contentTypeVersion="2" ma:contentTypeDescription="Create a new document." ma:contentTypeScope="" ma:versionID="3fcaf9f86eecabe60cafbc14737b6fc1">
  <xsd:schema xmlns:xsd="http://www.w3.org/2001/XMLSchema" xmlns:xs="http://www.w3.org/2001/XMLSchema" xmlns:p="http://schemas.microsoft.com/office/2006/metadata/properties" xmlns:ns2="0098f7bc-1fc3-4794-aeac-ebeaa1c52ff0" targetNamespace="http://schemas.microsoft.com/office/2006/metadata/properties" ma:root="true" ma:fieldsID="0e257f48f48cd15e8cc2eb6c4f30978c" ns2:_="">
    <xsd:import namespace="0098f7bc-1fc3-4794-aeac-ebeaa1c52ff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98f7bc-1fc3-4794-aeac-ebeaa1c52ff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ATT14</b:Tag>
    <b:SourceType>InternetSite</b:SourceType>
    <b:Guid>{5AD3BCAF-E1C0-48E7-BC82-346B9A582367}</b:Guid>
    <b:Title>AT&amp;T Investor Report</b:Title>
    <b:Year>2014</b:Year>
    <b:URL>http://www.att.com/Investor/ATT_Annual/2014/att_introduces_new_concepts_for_telecom_network.html</b:URL>
    <b:RefOrder>1</b:RefOrder>
  </b:Source>
  <b:Source>
    <b:Tag>Rac15</b:Tag>
    <b:SourceType>DocumentFromInternetSite</b:SourceType>
    <b:Guid>{8DD435C0-72F3-43DB-A5A3-E102EDA5325A}</b:Guid>
    <b:Title>NGMN 5G Initiative White Paper</b:Title>
    <b:Year>2015</b:Year>
    <b:Author>
      <b:Author>
        <b:NameList>
          <b:Person>
            <b:Last>Rachid El Hattachi</b:Last>
            <b:First>Javan</b:First>
            <b:Middle>Erfanian</b:Middle>
          </b:Person>
        </b:NameList>
      </b:Author>
    </b:Author>
    <b:Month>February</b:Month>
    <b:Day>17</b:Day>
    <b:URL>https://www.ngmn.org/uploads/media/NGMN_5G_White_Paper_V1_0.pdf</b:URL>
    <b:RefOrder>2</b:RefOrder>
  </b:Source>
  <b:Source>
    <b:Tag>FRu13</b:Tag>
    <b:SourceType>JournalArticle</b:SourceType>
    <b:Guid>{0615690B-1127-4AB3-BC94-59DEC3B3F0BD}</b:Guid>
    <b:Title>Scaling Up MIMO, Opportunities and Challenges with Very Large Arrays</b:Title>
    <b:Year>2013</b:Year>
    <b:Author>
      <b:Author>
        <b:NameList>
          <b:Person>
            <b:Last>Rusek</b:Last>
            <b:First>F</b:First>
          </b:Person>
          <b:Person>
            <b:Last>Persson</b:Last>
            <b:First>D.</b:First>
          </b:Person>
          <b:Person>
            <b:Last>Lau</b:Last>
            <b:Middle>K.</b:Middle>
            <b:First>B.</b:First>
          </b:Person>
          <b:Person>
            <b:Last>Larsson</b:Last>
            <b:Middle>G.</b:Middle>
            <b:First>E.</b:First>
          </b:Person>
          <b:Person>
            <b:Last>Marzetta</b:Last>
            <b:Middle>L.</b:Middle>
            <b:First>T.</b:First>
          </b:Person>
          <b:Person>
            <b:Last>Tufvesson</b:Last>
            <b:First>F.</b:First>
          </b:Person>
        </b:NameList>
      </b:Author>
    </b:Author>
    <b:JournalName>IEEE Signal Processing Magazine</b:JournalName>
    <b:Pages>40-60</b:Pages>
    <b:DOI>10.1109/MSP.2011.2178495</b:DOI>
    <b:RefOrder>3</b:RefOrder>
  </b:Source>
  <b:Source>
    <b:Tag>Mec89</b:Tag>
    <b:SourceType>JournalArticle</b:SourceType>
    <b:Guid>{A8F2313B-4EDE-4023-B554-29744521B635}</b:Guid>
    <b:Title>A Tutorial on Non-Parametric Bilinear Time-Frequency Signal Representations</b:Title>
    <b:JournalName>Time and Frequency Representation of Signals and Systems (Eds. G Longo and B. Picinbono)</b:JournalName>
    <b:Year>1989</b:Year>
    <b:Pages>11-68</b:Pages>
    <b:Volume>309</b:Volume>
    <b:Author>
      <b:Author>
        <b:NameList>
          <b:Person>
            <b:Last>Mecklenbräuker</b:Last>
            <b:First>W</b:First>
          </b:Person>
        </b:NameList>
      </b:Author>
    </b:Author>
    <b:RefOrder>4</b:RefOrder>
  </b:Source>
  <b:Source>
    <b:Tag>Vod15</b:Tag>
    <b:SourceType>ConferenceProceedings</b:SourceType>
    <b:Guid>{EA5F5266-2362-475E-9A03-27BB41762A56}</b:Guid>
    <b:Title>Cellular Internet of Things: Architectural Aspects</b:Title>
    <b:Year>2015</b:Year>
    <b:Author>
      <b:Author>
        <b:Corporate>Vodafone</b:Corporate>
      </b:Author>
    </b:Author>
    <b:Month>June</b:Month>
    <b:URL>http://www.3gpp.org/ftp/tsg_ran/TSG_RAN/TSGR_68/Docs/RP-150869.zip</b:URL>
    <b:City>Malmo, Sweden</b:City>
    <b:ConferenceName>3GPP RAN#68</b:ConferenceName>
    <b:RefOrder>5</b:RefOrder>
  </b:Source>
  <b:Source>
    <b:Tag>Ban14</b:Tag>
    <b:SourceType>JournalArticle</b:SourceType>
    <b:Guid>{65E4A61E-0C21-4091-ADE7-A90670F25447}</b:Guid>
    <b:Title>Modulation Formats and Waveforms for 5G Networks: Who Will Be the Heir of OFDM?</b:Title>
    <b:Year>2014</b:Year>
    <b:JournalName>IEEE Signal Processing Magazine</b:JournalName>
    <b:Pages>80-93</b:Pages>
    <b:Author>
      <b:Author>
        <b:NameList>
          <b:Person>
            <b:Last>Banelli</b:Last>
            <b:First>Paolo</b:First>
          </b:Person>
          <b:Person>
            <b:Last>Buzzi</b:Last>
            <b:First>Stefano</b:First>
          </b:Person>
          <b:Person>
            <b:Last>Colavolpe</b:Last>
            <b:First>Giulio</b:First>
          </b:Person>
          <b:Person>
            <b:Last>Modenini</b:Last>
            <b:First>Andrea</b:First>
          </b:Person>
          <b:Person>
            <b:Last>Rusek</b:Last>
            <b:First>Frederik</b:First>
          </b:Person>
          <b:Person>
            <b:Last>Ugolini</b:Last>
            <b:First>Alessandro</b:First>
          </b:Person>
        </b:NameList>
      </b:Author>
    </b:Author>
    <b:RefOrder>6</b:RefOrder>
  </b:Source>
</b:Sources>
</file>

<file path=customXml/itemProps1.xml><?xml version="1.0" encoding="utf-8"?>
<ds:datastoreItem xmlns:ds="http://schemas.openxmlformats.org/officeDocument/2006/customXml" ds:itemID="{8EBFA76E-7BC5-40CB-BBC5-3D5083A862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149E27-0039-41AC-99B9-E30190836372}">
  <ds:schemaRefs>
    <ds:schemaRef ds:uri="http://schemas.microsoft.com/office/2006/metadata/longProperties"/>
  </ds:schemaRefs>
</ds:datastoreItem>
</file>

<file path=customXml/itemProps3.xml><?xml version="1.0" encoding="utf-8"?>
<ds:datastoreItem xmlns:ds="http://schemas.openxmlformats.org/officeDocument/2006/customXml" ds:itemID="{707298AE-E4AE-4C82-9E29-715FFCA47498}">
  <ds:schemaRefs>
    <ds:schemaRef ds:uri="http://schemas.microsoft.com/sharepoint/v3/contenttype/forms"/>
  </ds:schemaRefs>
</ds:datastoreItem>
</file>

<file path=customXml/itemProps4.xml><?xml version="1.0" encoding="utf-8"?>
<ds:datastoreItem xmlns:ds="http://schemas.openxmlformats.org/officeDocument/2006/customXml" ds:itemID="{B9892DCE-BEC1-4612-9CE7-AA768BCFA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98f7bc-1fc3-4794-aeac-ebeaa1c52f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46807F-4F77-4045-8141-92A1ACC8F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 template\3gpp_70.dot</Template>
  <TotalTime>39</TotalTime>
  <Pages>4</Pages>
  <Words>1767</Words>
  <Characters>10078</Characters>
  <Application>Microsoft Macintosh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11822</CharactersWithSpaces>
  <SharedDoc>false</SharedDoc>
  <HLinks>
    <vt:vector size="6" baseType="variant">
      <vt:variant>
        <vt:i4>1704010</vt:i4>
      </vt:variant>
      <vt:variant>
        <vt:i4>6</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Christian Ibars</cp:lastModifiedBy>
  <cp:revision>13</cp:revision>
  <cp:lastPrinted>2016-04-01T18:34:00Z</cp:lastPrinted>
  <dcterms:created xsi:type="dcterms:W3CDTF">2016-11-04T18:16:00Z</dcterms:created>
  <dcterms:modified xsi:type="dcterms:W3CDTF">2016-11-04T23:48:00Z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44;#3GPP|6a3890dd-b3c6-4ee1-9283-043167dd414d</vt:lpwstr>
  </property>
  <property fmtid="{D5CDD505-2E9C-101B-9397-08002B2CF9AE}" pid="3" name="_dlc_DocId">
    <vt:lpwstr>WVVVEZWPY5V4-1-11094</vt:lpwstr>
  </property>
  <property fmtid="{D5CDD505-2E9C-101B-9397-08002B2CF9AE}" pid="4" name="_dlc_DocIdItemGuid">
    <vt:lpwstr>6d502850-f36d-4fa6-85c1-c5293e463038</vt:lpwstr>
  </property>
  <property fmtid="{D5CDD505-2E9C-101B-9397-08002B2CF9AE}" pid="5" name="_dlc_DocIdUrl">
    <vt:lpwstr>https://ericoll.internal.ericsson.com/sites/FRA/_layouts/DocIdRedir.aspx?ID=WVVVEZWPY5V4-1-11094, WVVVEZWPY5V4-1-11094</vt:lpwstr>
  </property>
  <property fmtid="{D5CDD505-2E9C-101B-9397-08002B2CF9AE}" pid="6" name="EriCOLLCategory">
    <vt:lpwstr>1;#Technology|b3747014-464c-4f4a-88e7-23c663dc6c06;#2;#Project|5fd1cb76-0b0e-4149-8caf-738ae6fe14fe;#3;#Research|7f1f7aab-c784-40ec-8666-825d2ac7abef</vt:lpwstr>
  </property>
  <property fmtid="{D5CDD505-2E9C-101B-9397-08002B2CF9AE}" pid="7" name="EriCOLLOrganizationUnit">
    <vt:lpwstr>4;#GF Technology|7ac278bb-d2a3-440f-950b-542e9e64b75a</vt:lpwstr>
  </property>
  <property fmtid="{D5CDD505-2E9C-101B-9397-08002B2CF9AE}" pid="8" name="EriCOLLProjects">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0x010100ED460479F98CC64993FB7E553EA54DB8</vt:lpwstr>
  </property>
</Properties>
</file>